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3A" w:rsidRPr="00CC7329" w:rsidRDefault="006A3D3A" w:rsidP="00781A2F">
      <w:pPr>
        <w:jc w:val="center"/>
        <w:rPr>
          <w:b/>
          <w:bCs/>
          <w:sz w:val="28"/>
          <w:szCs w:val="28"/>
        </w:rPr>
      </w:pPr>
      <w:bookmarkStart w:id="0" w:name="_GoBack"/>
      <w:bookmarkEnd w:id="0"/>
      <w:r w:rsidRPr="00781A2F">
        <w:rPr>
          <w:b/>
          <w:bCs/>
          <w:color w:val="000000"/>
          <w:sz w:val="28"/>
          <w:szCs w:val="28"/>
        </w:rPr>
        <w:t xml:space="preserve">Ministru kabineta noteikumu projekta </w:t>
      </w:r>
      <w:r w:rsidRPr="00781A2F">
        <w:rPr>
          <w:b/>
          <w:bCs/>
          <w:sz w:val="28"/>
          <w:szCs w:val="28"/>
        </w:rPr>
        <w:t>„</w:t>
      </w:r>
      <w:r>
        <w:rPr>
          <w:b/>
          <w:bCs/>
          <w:sz w:val="28"/>
          <w:szCs w:val="28"/>
        </w:rPr>
        <w:t xml:space="preserve">Noteikumi par </w:t>
      </w:r>
      <w:r w:rsidRPr="00781A2F">
        <w:rPr>
          <w:b/>
          <w:bCs/>
          <w:sz w:val="28"/>
          <w:szCs w:val="28"/>
        </w:rPr>
        <w:t>201</w:t>
      </w:r>
      <w:r>
        <w:rPr>
          <w:b/>
          <w:bCs/>
          <w:sz w:val="28"/>
          <w:szCs w:val="28"/>
        </w:rPr>
        <w:t>3</w:t>
      </w:r>
      <w:r w:rsidRPr="00781A2F">
        <w:rPr>
          <w:b/>
          <w:bCs/>
          <w:sz w:val="28"/>
          <w:szCs w:val="28"/>
        </w:rPr>
        <w:t>./201</w:t>
      </w:r>
      <w:r>
        <w:rPr>
          <w:b/>
          <w:bCs/>
          <w:sz w:val="28"/>
          <w:szCs w:val="28"/>
        </w:rPr>
        <w:t>4</w:t>
      </w:r>
      <w:r w:rsidRPr="00781A2F">
        <w:rPr>
          <w:b/>
          <w:bCs/>
          <w:sz w:val="28"/>
          <w:szCs w:val="28"/>
        </w:rPr>
        <w:t>.mācību gada un mācību semestru sākuma un beigu laiku</w:t>
      </w:r>
      <w:r>
        <w:rPr>
          <w:b/>
          <w:bCs/>
          <w:sz w:val="28"/>
          <w:szCs w:val="28"/>
        </w:rPr>
        <w:t xml:space="preserve">” </w:t>
      </w:r>
      <w:r w:rsidRPr="00CC7329">
        <w:rPr>
          <w:b/>
          <w:bCs/>
          <w:sz w:val="28"/>
          <w:szCs w:val="28"/>
        </w:rPr>
        <w:t>sākotnējās ietekmes novērtējuma ziņojums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779"/>
      </w:tblGrid>
      <w:tr w:rsidR="006A3D3A" w:rsidRPr="00CC7329" w:rsidTr="00FF7777">
        <w:tc>
          <w:tcPr>
            <w:tcW w:w="9644" w:type="dxa"/>
            <w:gridSpan w:val="3"/>
            <w:vAlign w:val="center"/>
          </w:tcPr>
          <w:p w:rsidR="006A3D3A" w:rsidRPr="00CC7329" w:rsidRDefault="006A3D3A" w:rsidP="003A152E">
            <w:pPr>
              <w:pStyle w:val="naisnod"/>
              <w:spacing w:before="0" w:after="0"/>
            </w:pPr>
            <w:r w:rsidRPr="00CC7329">
              <w:rPr>
                <w:sz w:val="28"/>
                <w:szCs w:val="28"/>
              </w:rPr>
              <w:t>I. Tiesību akta projekta izstrādes nepieciešamība</w:t>
            </w:r>
          </w:p>
        </w:tc>
      </w:tr>
      <w:tr w:rsidR="006A3D3A" w:rsidRPr="00CC7329" w:rsidTr="00FF7777">
        <w:trPr>
          <w:trHeight w:val="630"/>
        </w:trPr>
        <w:tc>
          <w:tcPr>
            <w:tcW w:w="550" w:type="dxa"/>
          </w:tcPr>
          <w:p w:rsidR="006A3D3A" w:rsidRPr="00CC7329" w:rsidRDefault="006A3D3A" w:rsidP="003A152E">
            <w:pPr>
              <w:pStyle w:val="naiskr"/>
              <w:spacing w:before="0" w:after="0"/>
            </w:pPr>
            <w:r w:rsidRPr="00CC7329">
              <w:rPr>
                <w:sz w:val="28"/>
                <w:szCs w:val="28"/>
              </w:rPr>
              <w:t>1.</w:t>
            </w:r>
          </w:p>
        </w:tc>
        <w:tc>
          <w:tcPr>
            <w:tcW w:w="4315" w:type="dxa"/>
          </w:tcPr>
          <w:p w:rsidR="006A3D3A" w:rsidRPr="00CC7329" w:rsidRDefault="006A3D3A" w:rsidP="003A152E">
            <w:pPr>
              <w:pStyle w:val="naiskr"/>
              <w:spacing w:before="0" w:after="0"/>
              <w:ind w:hanging="10"/>
            </w:pPr>
            <w:r w:rsidRPr="00CC7329">
              <w:rPr>
                <w:sz w:val="28"/>
                <w:szCs w:val="28"/>
              </w:rPr>
              <w:t>Pamatojums</w:t>
            </w:r>
          </w:p>
        </w:tc>
        <w:tc>
          <w:tcPr>
            <w:tcW w:w="4779" w:type="dxa"/>
          </w:tcPr>
          <w:p w:rsidR="006A3D3A" w:rsidRPr="00CC7329" w:rsidRDefault="006A3D3A" w:rsidP="009B485A">
            <w:pPr>
              <w:pStyle w:val="naiskr"/>
              <w:spacing w:before="0" w:after="0"/>
              <w:jc w:val="both"/>
              <w:rPr>
                <w:color w:val="000000"/>
              </w:rPr>
            </w:pPr>
            <w:r w:rsidRPr="00CC7329">
              <w:rPr>
                <w:sz w:val="28"/>
                <w:szCs w:val="28"/>
              </w:rPr>
              <w:t>Ministru kabineta noteikumu projekts „Noteikumi par 201</w:t>
            </w:r>
            <w:r>
              <w:rPr>
                <w:sz w:val="28"/>
                <w:szCs w:val="28"/>
              </w:rPr>
              <w:t>3</w:t>
            </w:r>
            <w:r w:rsidRPr="00CC7329">
              <w:rPr>
                <w:sz w:val="28"/>
                <w:szCs w:val="28"/>
              </w:rPr>
              <w:t>./201</w:t>
            </w:r>
            <w:r>
              <w:rPr>
                <w:sz w:val="28"/>
                <w:szCs w:val="28"/>
              </w:rPr>
              <w:t>4</w:t>
            </w:r>
            <w:r w:rsidRPr="00CC7329">
              <w:rPr>
                <w:sz w:val="28"/>
                <w:szCs w:val="28"/>
              </w:rPr>
              <w:t xml:space="preserve">.mācību gada un mācību semestru sākumu un beigu laiku” (turpmāk – noteikumu projekts) ir sagatavots saskaņā ar </w:t>
            </w:r>
            <w:r w:rsidRPr="00CC7329">
              <w:rPr>
                <w:color w:val="000000"/>
                <w:sz w:val="28"/>
                <w:szCs w:val="28"/>
              </w:rPr>
              <w:t>Vispārējās izglītības likuma 4.panta 16.punktu, kas paredz, ka Ministru kabinets nosaka mācību gada un mācību semestru sākuma un beigu laiku.</w:t>
            </w:r>
          </w:p>
          <w:p w:rsidR="006A3D3A" w:rsidRPr="00CC7329" w:rsidRDefault="006A3D3A" w:rsidP="009B485A">
            <w:pPr>
              <w:pStyle w:val="naiskr"/>
              <w:spacing w:before="0" w:after="0"/>
              <w:jc w:val="both"/>
            </w:pPr>
          </w:p>
        </w:tc>
      </w:tr>
      <w:tr w:rsidR="006A3D3A" w:rsidRPr="004A7158" w:rsidTr="00FF7777">
        <w:trPr>
          <w:trHeight w:val="8920"/>
        </w:trPr>
        <w:tc>
          <w:tcPr>
            <w:tcW w:w="550" w:type="dxa"/>
          </w:tcPr>
          <w:p w:rsidR="006A3D3A" w:rsidRPr="00CC7329" w:rsidRDefault="006A3D3A" w:rsidP="003A152E">
            <w:pPr>
              <w:pStyle w:val="naiskr"/>
              <w:spacing w:before="0" w:after="0"/>
            </w:pPr>
            <w:r w:rsidRPr="00CC7329">
              <w:rPr>
                <w:sz w:val="28"/>
                <w:szCs w:val="28"/>
              </w:rPr>
              <w:t>2.</w:t>
            </w:r>
          </w:p>
        </w:tc>
        <w:tc>
          <w:tcPr>
            <w:tcW w:w="4315" w:type="dxa"/>
          </w:tcPr>
          <w:p w:rsidR="006A3D3A" w:rsidRPr="00CC7329" w:rsidRDefault="006A3D3A" w:rsidP="003A152E">
            <w:pPr>
              <w:pStyle w:val="naiskr"/>
              <w:tabs>
                <w:tab w:val="left" w:pos="170"/>
              </w:tabs>
              <w:spacing w:before="0" w:after="0"/>
            </w:pPr>
            <w:r w:rsidRPr="00CC7329">
              <w:rPr>
                <w:sz w:val="28"/>
                <w:szCs w:val="28"/>
              </w:rPr>
              <w:t>Pašreizējā situācija un problēmas</w:t>
            </w:r>
          </w:p>
        </w:tc>
        <w:tc>
          <w:tcPr>
            <w:tcW w:w="4779" w:type="dxa"/>
          </w:tcPr>
          <w:p w:rsidR="00222AAC" w:rsidRDefault="006A3D3A" w:rsidP="009B485A">
            <w:pPr>
              <w:jc w:val="both"/>
              <w:rPr>
                <w:color w:val="000000"/>
                <w:sz w:val="28"/>
                <w:szCs w:val="28"/>
              </w:rPr>
            </w:pPr>
            <w:r w:rsidRPr="00CC7329">
              <w:rPr>
                <w:color w:val="000000"/>
                <w:sz w:val="28"/>
                <w:szCs w:val="28"/>
              </w:rPr>
              <w:t>Ministru kabineta 201</w:t>
            </w:r>
            <w:r>
              <w:rPr>
                <w:color w:val="000000"/>
                <w:sz w:val="28"/>
                <w:szCs w:val="28"/>
              </w:rPr>
              <w:t>2</w:t>
            </w:r>
            <w:r w:rsidRPr="00CC7329">
              <w:rPr>
                <w:color w:val="000000"/>
                <w:sz w:val="28"/>
                <w:szCs w:val="28"/>
              </w:rPr>
              <w:t>.gada 1</w:t>
            </w:r>
            <w:r>
              <w:rPr>
                <w:color w:val="000000"/>
                <w:sz w:val="28"/>
                <w:szCs w:val="28"/>
              </w:rPr>
              <w:t>0</w:t>
            </w:r>
            <w:r w:rsidRPr="00CC7329">
              <w:rPr>
                <w:color w:val="000000"/>
                <w:sz w:val="28"/>
                <w:szCs w:val="28"/>
              </w:rPr>
              <w:t>.</w:t>
            </w:r>
            <w:r>
              <w:rPr>
                <w:color w:val="000000"/>
                <w:sz w:val="28"/>
                <w:szCs w:val="28"/>
              </w:rPr>
              <w:t xml:space="preserve">aprīļa </w:t>
            </w:r>
            <w:r w:rsidRPr="00CC7329">
              <w:rPr>
                <w:color w:val="000000"/>
                <w:sz w:val="28"/>
                <w:szCs w:val="28"/>
              </w:rPr>
              <w:t>noteikumi Nr.</w:t>
            </w:r>
            <w:r>
              <w:rPr>
                <w:color w:val="000000"/>
                <w:sz w:val="28"/>
                <w:szCs w:val="28"/>
              </w:rPr>
              <w:t>259</w:t>
            </w:r>
            <w:r w:rsidRPr="00CC7329">
              <w:rPr>
                <w:color w:val="000000"/>
                <w:sz w:val="28"/>
                <w:szCs w:val="28"/>
              </w:rPr>
              <w:t xml:space="preserve"> „Noteikumi par 201</w:t>
            </w:r>
            <w:r>
              <w:rPr>
                <w:color w:val="000000"/>
                <w:sz w:val="28"/>
                <w:szCs w:val="28"/>
              </w:rPr>
              <w:t>2</w:t>
            </w:r>
            <w:r w:rsidRPr="00CC7329">
              <w:rPr>
                <w:color w:val="000000"/>
                <w:sz w:val="28"/>
                <w:szCs w:val="28"/>
              </w:rPr>
              <w:t>./201</w:t>
            </w:r>
            <w:r>
              <w:rPr>
                <w:color w:val="000000"/>
                <w:sz w:val="28"/>
                <w:szCs w:val="28"/>
              </w:rPr>
              <w:t>3</w:t>
            </w:r>
            <w:r w:rsidRPr="00CC7329">
              <w:rPr>
                <w:color w:val="000000"/>
                <w:sz w:val="28"/>
                <w:szCs w:val="28"/>
              </w:rPr>
              <w:t>.mācību gada un mācību semestru sākuma un beigu laiku” nosaka 201</w:t>
            </w:r>
            <w:r>
              <w:rPr>
                <w:color w:val="000000"/>
                <w:sz w:val="28"/>
                <w:szCs w:val="28"/>
              </w:rPr>
              <w:t>2</w:t>
            </w:r>
            <w:r w:rsidRPr="00CC7329">
              <w:rPr>
                <w:color w:val="000000"/>
                <w:sz w:val="28"/>
                <w:szCs w:val="28"/>
              </w:rPr>
              <w:t>./201</w:t>
            </w:r>
            <w:r>
              <w:rPr>
                <w:color w:val="000000"/>
                <w:sz w:val="28"/>
                <w:szCs w:val="28"/>
              </w:rPr>
              <w:t>3</w:t>
            </w:r>
            <w:r w:rsidRPr="00CC7329">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Pr>
                <w:color w:val="000000"/>
                <w:sz w:val="28"/>
                <w:szCs w:val="28"/>
              </w:rPr>
              <w:t xml:space="preserve">Ministru kabineta noteikumi, kas noteiktu 2013./2014.mācību gada un mācību semestru sākuma un beigu laiku, nav izdoti. </w:t>
            </w:r>
          </w:p>
          <w:p w:rsidR="00BD48EE" w:rsidRDefault="00A042B8" w:rsidP="009B485A">
            <w:pPr>
              <w:jc w:val="both"/>
              <w:rPr>
                <w:sz w:val="28"/>
                <w:szCs w:val="28"/>
              </w:rPr>
            </w:pPr>
            <w:r w:rsidRPr="00BD48EE">
              <w:rPr>
                <w:sz w:val="28"/>
                <w:szCs w:val="28"/>
              </w:rPr>
              <w:t>Lai samazinātu vispārējās vidējās izglītības izglītojamo slodzi un spriedzi pārbaudījumu laikā maija beigās un jūnijā,</w:t>
            </w:r>
            <w:r w:rsidR="00222AAC" w:rsidRPr="00BD48EE">
              <w:rPr>
                <w:sz w:val="28"/>
                <w:szCs w:val="28"/>
              </w:rPr>
              <w:t xml:space="preserve"> kā arī palielinātu dienu skaitu starp  </w:t>
            </w:r>
            <w:r w:rsidR="00BD48EE" w:rsidRPr="00BD48EE">
              <w:rPr>
                <w:sz w:val="28"/>
                <w:szCs w:val="28"/>
              </w:rPr>
              <w:t xml:space="preserve">valsts pārbaudījumiem vispārējā vidējā izglītībā </w:t>
            </w:r>
            <w:r w:rsidR="00222AAC" w:rsidRPr="00BD48EE">
              <w:rPr>
                <w:sz w:val="28"/>
                <w:szCs w:val="28"/>
              </w:rPr>
              <w:t>jau 2012.gadā Izglītības un zinātnes ministrija izvērtēja variantus, kādā organizēt centralizētos eksāmenus</w:t>
            </w:r>
            <w:r w:rsidR="00BD48EE">
              <w:rPr>
                <w:sz w:val="28"/>
                <w:szCs w:val="28"/>
              </w:rPr>
              <w:t>:</w:t>
            </w:r>
            <w:r w:rsidRPr="00BD48EE">
              <w:rPr>
                <w:sz w:val="28"/>
                <w:szCs w:val="28"/>
              </w:rPr>
              <w:t xml:space="preserve"> </w:t>
            </w:r>
            <w:r w:rsidR="00BD48EE">
              <w:rPr>
                <w:sz w:val="28"/>
                <w:szCs w:val="28"/>
              </w:rPr>
              <w:t xml:space="preserve"> </w:t>
            </w:r>
          </w:p>
          <w:p w:rsidR="00A042B8" w:rsidRPr="00BD48EE" w:rsidRDefault="00BD48EE" w:rsidP="009B485A">
            <w:pPr>
              <w:jc w:val="both"/>
              <w:rPr>
                <w:sz w:val="28"/>
                <w:szCs w:val="28"/>
              </w:rPr>
            </w:pPr>
            <w:r>
              <w:rPr>
                <w:sz w:val="28"/>
                <w:szCs w:val="28"/>
              </w:rPr>
              <w:t xml:space="preserve">- </w:t>
            </w:r>
            <w:r w:rsidR="00A042B8" w:rsidRPr="00BD48EE">
              <w:rPr>
                <w:sz w:val="28"/>
                <w:szCs w:val="28"/>
              </w:rPr>
              <w:t>organizēt izglītojamiem brīvdienu laikā, mainot brīvdienu grafiku;</w:t>
            </w:r>
          </w:p>
          <w:p w:rsidR="00A042B8" w:rsidRPr="00BD48EE" w:rsidRDefault="00BD48EE" w:rsidP="009B485A">
            <w:pPr>
              <w:jc w:val="both"/>
              <w:rPr>
                <w:sz w:val="28"/>
                <w:szCs w:val="28"/>
              </w:rPr>
            </w:pPr>
            <w:r>
              <w:rPr>
                <w:sz w:val="28"/>
                <w:szCs w:val="28"/>
              </w:rPr>
              <w:t xml:space="preserve"> - </w:t>
            </w:r>
            <w:r w:rsidR="00A042B8" w:rsidRPr="00BD48EE">
              <w:rPr>
                <w:sz w:val="28"/>
                <w:szCs w:val="28"/>
              </w:rPr>
              <w:t xml:space="preserve">mācību procesa laikā, eksāmenus kārtojot februārī, martā, aprīlī utt.;  </w:t>
            </w:r>
          </w:p>
          <w:p w:rsidR="00A042B8" w:rsidRPr="00BD48EE" w:rsidRDefault="00BD48EE" w:rsidP="009B485A">
            <w:pPr>
              <w:jc w:val="both"/>
              <w:rPr>
                <w:sz w:val="28"/>
                <w:szCs w:val="28"/>
              </w:rPr>
            </w:pPr>
            <w:r>
              <w:rPr>
                <w:sz w:val="28"/>
                <w:szCs w:val="28"/>
              </w:rPr>
              <w:t xml:space="preserve"> - </w:t>
            </w:r>
            <w:r w:rsidR="00A042B8" w:rsidRPr="00BD48EE">
              <w:rPr>
                <w:sz w:val="28"/>
                <w:szCs w:val="28"/>
              </w:rPr>
              <w:t>nemainīt eksāmenu grafiku.</w:t>
            </w:r>
          </w:p>
          <w:p w:rsidR="00BD48EE" w:rsidRDefault="00A042B8" w:rsidP="009B485A">
            <w:pPr>
              <w:pStyle w:val="naiskr"/>
              <w:spacing w:before="0" w:after="0"/>
              <w:jc w:val="both"/>
              <w:rPr>
                <w:sz w:val="28"/>
                <w:szCs w:val="28"/>
              </w:rPr>
            </w:pPr>
            <w:r w:rsidRPr="00BD48EE">
              <w:rPr>
                <w:sz w:val="28"/>
                <w:szCs w:val="28"/>
              </w:rPr>
              <w:t xml:space="preserve">Tika veikta visu ieinteresēto un iesaistīto personu (12.klašu absolventi, vecāku pārstāvji, kuri darbojas Izglītības un </w:t>
            </w:r>
            <w:r w:rsidRPr="00BD48EE">
              <w:rPr>
                <w:sz w:val="28"/>
                <w:szCs w:val="28"/>
              </w:rPr>
              <w:lastRenderedPageBreak/>
              <w:t xml:space="preserve">zinātnes ministrijas darba grupās, skolotāji, izglītības iestāžu vadītāji, izglītības pārvalžu speciālisti, izglītības darbinieku profesionālo organizāciju pārstāvji) </w:t>
            </w:r>
            <w:proofErr w:type="spellStart"/>
            <w:r w:rsidRPr="00BD48EE">
              <w:rPr>
                <w:sz w:val="28"/>
                <w:szCs w:val="28"/>
              </w:rPr>
              <w:t>ekspress</w:t>
            </w:r>
            <w:proofErr w:type="spellEnd"/>
            <w:r w:rsidRPr="00BD48EE">
              <w:rPr>
                <w:sz w:val="28"/>
                <w:szCs w:val="28"/>
              </w:rPr>
              <w:t xml:space="preserve"> aptauja un viedokļu izvērtēšana.</w:t>
            </w:r>
          </w:p>
          <w:p w:rsidR="00A042B8" w:rsidRPr="00222AAC" w:rsidRDefault="00A042B8" w:rsidP="009B485A">
            <w:pPr>
              <w:pStyle w:val="naiskr"/>
              <w:spacing w:before="0" w:after="0"/>
              <w:jc w:val="both"/>
              <w:rPr>
                <w:sz w:val="28"/>
                <w:szCs w:val="28"/>
              </w:rPr>
            </w:pPr>
            <w:r w:rsidRPr="00222AAC">
              <w:rPr>
                <w:sz w:val="28"/>
                <w:szCs w:val="28"/>
              </w:rPr>
              <w:t xml:space="preserve">Minētais risinājums </w:t>
            </w:r>
            <w:r w:rsidR="00BD48EE">
              <w:rPr>
                <w:sz w:val="28"/>
                <w:szCs w:val="28"/>
              </w:rPr>
              <w:t>ļāva</w:t>
            </w:r>
            <w:r w:rsidRPr="00222AAC">
              <w:rPr>
                <w:sz w:val="28"/>
                <w:szCs w:val="28"/>
              </w:rPr>
              <w:t>:</w:t>
            </w:r>
          </w:p>
          <w:p w:rsidR="00A042B8" w:rsidRPr="00222AAC" w:rsidRDefault="009B485A" w:rsidP="009B485A">
            <w:pPr>
              <w:pStyle w:val="naiskr"/>
              <w:numPr>
                <w:ilvl w:val="0"/>
                <w:numId w:val="6"/>
              </w:numPr>
              <w:spacing w:before="0" w:after="0"/>
              <w:ind w:left="0" w:hanging="102"/>
              <w:jc w:val="both"/>
              <w:rPr>
                <w:sz w:val="28"/>
                <w:szCs w:val="28"/>
              </w:rPr>
            </w:pPr>
            <w:r>
              <w:rPr>
                <w:sz w:val="28"/>
                <w:szCs w:val="28"/>
              </w:rPr>
              <w:t xml:space="preserve">- </w:t>
            </w:r>
            <w:r w:rsidR="00A042B8" w:rsidRPr="00222AAC">
              <w:rPr>
                <w:sz w:val="28"/>
                <w:szCs w:val="28"/>
              </w:rPr>
              <w:t>saglabāt ierasto eksāmenu norises kārtību, kas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eksāmena procesā un šajā laikā viņi neveic savu priekšmetu mācīšanu;</w:t>
            </w:r>
          </w:p>
          <w:p w:rsidR="00A042B8" w:rsidRDefault="009B485A" w:rsidP="009B485A">
            <w:pPr>
              <w:pStyle w:val="naiskr"/>
              <w:numPr>
                <w:ilvl w:val="0"/>
                <w:numId w:val="6"/>
              </w:numPr>
              <w:spacing w:before="0" w:after="0"/>
              <w:ind w:left="0" w:hanging="102"/>
              <w:jc w:val="both"/>
              <w:rPr>
                <w:sz w:val="28"/>
                <w:szCs w:val="28"/>
              </w:rPr>
            </w:pPr>
            <w:r>
              <w:rPr>
                <w:sz w:val="28"/>
                <w:szCs w:val="28"/>
              </w:rPr>
              <w:t xml:space="preserve"> - </w:t>
            </w:r>
            <w:r w:rsidR="00A042B8" w:rsidRPr="00222AAC">
              <w:rPr>
                <w:sz w:val="28"/>
                <w:szCs w:val="28"/>
              </w:rPr>
              <w:t>netraucēt citu klašu mācību procesu, jo  izglītojamajiem no 1. līdz 11.klasei šajā laikā ir pavasara brīvdienas</w:t>
            </w:r>
            <w:r w:rsidR="00BD48EE">
              <w:rPr>
                <w:sz w:val="28"/>
                <w:szCs w:val="28"/>
              </w:rPr>
              <w:t>.</w:t>
            </w:r>
          </w:p>
          <w:p w:rsidR="0009056A" w:rsidRDefault="00621F61" w:rsidP="009B485A">
            <w:pPr>
              <w:pStyle w:val="naiskr"/>
              <w:numPr>
                <w:ilvl w:val="0"/>
                <w:numId w:val="6"/>
              </w:numPr>
              <w:spacing w:before="0" w:after="0"/>
              <w:ind w:left="0" w:hanging="102"/>
              <w:jc w:val="both"/>
              <w:rPr>
                <w:sz w:val="28"/>
                <w:szCs w:val="28"/>
              </w:rPr>
            </w:pPr>
            <w:r>
              <w:rPr>
                <w:sz w:val="28"/>
                <w:szCs w:val="28"/>
              </w:rPr>
              <w:t>T</w:t>
            </w:r>
            <w:r w:rsidR="00626862">
              <w:rPr>
                <w:sz w:val="28"/>
                <w:szCs w:val="28"/>
              </w:rPr>
              <w:t>ā</w:t>
            </w:r>
            <w:r>
              <w:rPr>
                <w:sz w:val="28"/>
                <w:szCs w:val="28"/>
              </w:rPr>
              <w:t xml:space="preserve">dējādi, </w:t>
            </w:r>
            <w:r w:rsidR="008137EC">
              <w:rPr>
                <w:sz w:val="28"/>
                <w:szCs w:val="28"/>
              </w:rPr>
              <w:t xml:space="preserve">noteikumu projektā izglītojamiem </w:t>
            </w:r>
            <w:r>
              <w:rPr>
                <w:sz w:val="28"/>
                <w:szCs w:val="28"/>
              </w:rPr>
              <w:t xml:space="preserve"> </w:t>
            </w:r>
            <w:r w:rsidR="008137EC">
              <w:rPr>
                <w:sz w:val="28"/>
                <w:szCs w:val="28"/>
              </w:rPr>
              <w:t>no 1.-11.klase</w:t>
            </w:r>
            <w:r>
              <w:rPr>
                <w:sz w:val="28"/>
                <w:szCs w:val="28"/>
              </w:rPr>
              <w:t>i un 12.klases klases izglītojamiem ir plānotas pavasara brīvdienas dažādos laikos.</w:t>
            </w:r>
          </w:p>
          <w:p w:rsidR="004A7158" w:rsidRPr="004A7158" w:rsidRDefault="004A7158" w:rsidP="004A7158">
            <w:pPr>
              <w:jc w:val="both"/>
              <w:rPr>
                <w:color w:val="000000"/>
                <w:sz w:val="28"/>
                <w:szCs w:val="28"/>
              </w:rPr>
            </w:pPr>
            <w:r w:rsidRPr="00CC7329">
              <w:rPr>
                <w:color w:val="000000"/>
                <w:sz w:val="28"/>
                <w:szCs w:val="28"/>
              </w:rPr>
              <w:t>Ministru kabineta 201</w:t>
            </w:r>
            <w:r>
              <w:rPr>
                <w:color w:val="000000"/>
                <w:sz w:val="28"/>
                <w:szCs w:val="28"/>
              </w:rPr>
              <w:t>2</w:t>
            </w:r>
            <w:r w:rsidRPr="00CC7329">
              <w:rPr>
                <w:color w:val="000000"/>
                <w:sz w:val="28"/>
                <w:szCs w:val="28"/>
              </w:rPr>
              <w:t>.gada 1</w:t>
            </w:r>
            <w:r>
              <w:rPr>
                <w:color w:val="000000"/>
                <w:sz w:val="28"/>
                <w:szCs w:val="28"/>
              </w:rPr>
              <w:t>0</w:t>
            </w:r>
            <w:r w:rsidRPr="00CC7329">
              <w:rPr>
                <w:color w:val="000000"/>
                <w:sz w:val="28"/>
                <w:szCs w:val="28"/>
              </w:rPr>
              <w:t>.</w:t>
            </w:r>
            <w:r>
              <w:rPr>
                <w:color w:val="000000"/>
                <w:sz w:val="28"/>
                <w:szCs w:val="28"/>
              </w:rPr>
              <w:t xml:space="preserve">aprīļa </w:t>
            </w:r>
            <w:r w:rsidRPr="00CC7329">
              <w:rPr>
                <w:color w:val="000000"/>
                <w:sz w:val="28"/>
                <w:szCs w:val="28"/>
              </w:rPr>
              <w:t>noteikum</w:t>
            </w:r>
            <w:r>
              <w:rPr>
                <w:color w:val="000000"/>
                <w:sz w:val="28"/>
                <w:szCs w:val="28"/>
              </w:rPr>
              <w:t>u</w:t>
            </w:r>
            <w:r w:rsidRPr="00CC7329">
              <w:rPr>
                <w:color w:val="000000"/>
                <w:sz w:val="28"/>
                <w:szCs w:val="28"/>
              </w:rPr>
              <w:t xml:space="preserve"> Nr.</w:t>
            </w:r>
            <w:r>
              <w:rPr>
                <w:color w:val="000000"/>
                <w:sz w:val="28"/>
                <w:szCs w:val="28"/>
              </w:rPr>
              <w:t>259</w:t>
            </w:r>
            <w:r w:rsidRPr="00CC7329">
              <w:rPr>
                <w:color w:val="000000"/>
                <w:sz w:val="28"/>
                <w:szCs w:val="28"/>
              </w:rPr>
              <w:t xml:space="preserve"> „Noteikumi par 201</w:t>
            </w:r>
            <w:r>
              <w:rPr>
                <w:color w:val="000000"/>
                <w:sz w:val="28"/>
                <w:szCs w:val="28"/>
              </w:rPr>
              <w:t>2</w:t>
            </w:r>
            <w:r w:rsidRPr="00CC7329">
              <w:rPr>
                <w:color w:val="000000"/>
                <w:sz w:val="28"/>
                <w:szCs w:val="28"/>
              </w:rPr>
              <w:t>./201</w:t>
            </w:r>
            <w:r>
              <w:rPr>
                <w:color w:val="000000"/>
                <w:sz w:val="28"/>
                <w:szCs w:val="28"/>
              </w:rPr>
              <w:t>3</w:t>
            </w:r>
            <w:r w:rsidRPr="00CC7329">
              <w:rPr>
                <w:color w:val="000000"/>
                <w:sz w:val="28"/>
                <w:szCs w:val="28"/>
              </w:rPr>
              <w:t>.mācību gada un mācību semestru sākuma un beigu laiku”</w:t>
            </w:r>
            <w:r>
              <w:rPr>
                <w:color w:val="000000"/>
                <w:sz w:val="28"/>
                <w:szCs w:val="28"/>
              </w:rPr>
              <w:t xml:space="preserve"> 9.punktā ir noteikts, ka i</w:t>
            </w:r>
            <w:r w:rsidRPr="004A7158">
              <w:rPr>
                <w:color w:val="000000"/>
                <w:sz w:val="28"/>
                <w:szCs w:val="28"/>
              </w:rPr>
              <w:t xml:space="preserve">zglītības iestāde patstāvīgi pieņem </w:t>
            </w:r>
            <w:smartTag w:uri="schemas-tilde-lv/tildestengine" w:element="veidnes">
              <w:smartTagPr>
                <w:attr w:name="text" w:val="lēmumu"/>
                <w:attr w:name="id" w:val="-1"/>
                <w:attr w:name="baseform" w:val="lēmum|s"/>
              </w:smartTagPr>
              <w:r w:rsidRPr="004A7158">
                <w:rPr>
                  <w:color w:val="000000"/>
                  <w:sz w:val="28"/>
                  <w:szCs w:val="28"/>
                </w:rPr>
                <w:t>lēmumu</w:t>
              </w:r>
            </w:smartTag>
            <w:r w:rsidRPr="004A7158">
              <w:rPr>
                <w:color w:val="000000"/>
                <w:sz w:val="28"/>
                <w:szCs w:val="28"/>
              </w:rPr>
              <w:t xml:space="preserve"> par projektu nedēļas norises laiku. Projektu nedēļu organizē otrajā semestrī.</w:t>
            </w:r>
            <w:r>
              <w:rPr>
                <w:color w:val="000000"/>
                <w:sz w:val="28"/>
                <w:szCs w:val="28"/>
              </w:rPr>
              <w:t xml:space="preserve"> </w:t>
            </w:r>
            <w:r w:rsidRPr="004A7158">
              <w:rPr>
                <w:color w:val="000000"/>
                <w:sz w:val="28"/>
                <w:szCs w:val="28"/>
              </w:rPr>
              <w:t>Veicinot skolu autonomiju</w:t>
            </w:r>
            <w:r w:rsidR="00FF7777">
              <w:rPr>
                <w:color w:val="000000"/>
                <w:sz w:val="28"/>
                <w:szCs w:val="28"/>
              </w:rPr>
              <w:t xml:space="preserve"> un mācību procesa organizācijas formu modernizēšanu un dažādošanu, </w:t>
            </w:r>
            <w:r w:rsidRPr="004A7158">
              <w:rPr>
                <w:color w:val="000000"/>
                <w:sz w:val="28"/>
                <w:szCs w:val="28"/>
              </w:rPr>
              <w:t xml:space="preserve">noteikumu projektā ir </w:t>
            </w:r>
            <w:r w:rsidR="0009056A">
              <w:rPr>
                <w:color w:val="000000"/>
                <w:sz w:val="28"/>
                <w:szCs w:val="28"/>
              </w:rPr>
              <w:t xml:space="preserve">jāiekļauj </w:t>
            </w:r>
            <w:r>
              <w:rPr>
                <w:color w:val="000000"/>
                <w:sz w:val="28"/>
                <w:szCs w:val="28"/>
              </w:rPr>
              <w:t>precizēts</w:t>
            </w:r>
            <w:r w:rsidRPr="004A7158">
              <w:rPr>
                <w:color w:val="000000"/>
                <w:sz w:val="28"/>
                <w:szCs w:val="28"/>
              </w:rPr>
              <w:t xml:space="preserve"> regulējums, ka izglītības iestāde patstāvīgi pieņem </w:t>
            </w:r>
            <w:smartTag w:uri="schemas-tilde-lv/tildestengine" w:element="veidnes">
              <w:smartTagPr>
                <w:attr w:name="baseform" w:val="lēmum|s"/>
                <w:attr w:name="id" w:val="-1"/>
                <w:attr w:name="text" w:val="lēmumu"/>
              </w:smartTagPr>
              <w:r w:rsidRPr="004A7158">
                <w:rPr>
                  <w:color w:val="000000"/>
                  <w:sz w:val="28"/>
                  <w:szCs w:val="28"/>
                </w:rPr>
                <w:t>lēmumu</w:t>
              </w:r>
            </w:smartTag>
            <w:r w:rsidRPr="004A7158">
              <w:rPr>
                <w:color w:val="000000"/>
                <w:sz w:val="28"/>
                <w:szCs w:val="28"/>
              </w:rPr>
              <w:t xml:space="preserve"> par projektu </w:t>
            </w:r>
            <w:r w:rsidR="002A302E">
              <w:rPr>
                <w:color w:val="000000"/>
                <w:sz w:val="28"/>
                <w:szCs w:val="28"/>
              </w:rPr>
              <w:t xml:space="preserve">(kā viena no mūsdienīga mācību procesa mācību metodēm) </w:t>
            </w:r>
            <w:r w:rsidRPr="004A7158">
              <w:rPr>
                <w:color w:val="000000"/>
                <w:sz w:val="28"/>
                <w:szCs w:val="28"/>
              </w:rPr>
              <w:t xml:space="preserve">norises laiku, kas nepārsniedz piecas darba dienas mācību gadā.  </w:t>
            </w:r>
          </w:p>
          <w:p w:rsidR="006A3D3A" w:rsidRPr="004A7158" w:rsidRDefault="006A3D3A" w:rsidP="004A7158">
            <w:pPr>
              <w:jc w:val="both"/>
              <w:rPr>
                <w:color w:val="000000"/>
                <w:sz w:val="28"/>
                <w:szCs w:val="28"/>
              </w:rPr>
            </w:pPr>
          </w:p>
        </w:tc>
      </w:tr>
      <w:tr w:rsidR="006A3D3A" w:rsidRPr="00CC7329" w:rsidTr="00FF7777">
        <w:trPr>
          <w:trHeight w:val="625"/>
        </w:trPr>
        <w:tc>
          <w:tcPr>
            <w:tcW w:w="550" w:type="dxa"/>
          </w:tcPr>
          <w:p w:rsidR="006A3D3A" w:rsidRPr="004A7158" w:rsidRDefault="006A3D3A" w:rsidP="003A152E">
            <w:pPr>
              <w:pStyle w:val="naiskr"/>
              <w:spacing w:before="0" w:after="0"/>
              <w:rPr>
                <w:color w:val="000000"/>
                <w:sz w:val="28"/>
                <w:szCs w:val="28"/>
              </w:rPr>
            </w:pPr>
            <w:r w:rsidRPr="004A7158">
              <w:rPr>
                <w:color w:val="000000"/>
                <w:sz w:val="28"/>
                <w:szCs w:val="28"/>
              </w:rPr>
              <w:lastRenderedPageBreak/>
              <w:t>3.</w:t>
            </w:r>
          </w:p>
        </w:tc>
        <w:tc>
          <w:tcPr>
            <w:tcW w:w="4315" w:type="dxa"/>
          </w:tcPr>
          <w:p w:rsidR="006A3D3A" w:rsidRPr="004A7158" w:rsidRDefault="006A3D3A" w:rsidP="003A152E">
            <w:pPr>
              <w:pStyle w:val="naiskr"/>
              <w:spacing w:before="0" w:after="0"/>
              <w:rPr>
                <w:color w:val="000000"/>
                <w:sz w:val="28"/>
                <w:szCs w:val="28"/>
              </w:rPr>
            </w:pPr>
            <w:r w:rsidRPr="004A7158">
              <w:rPr>
                <w:color w:val="000000"/>
                <w:sz w:val="28"/>
                <w:szCs w:val="28"/>
              </w:rPr>
              <w:t>Saistītie politikas ietekmes novērtējumi un pētījumi</w:t>
            </w:r>
          </w:p>
          <w:p w:rsidR="006A3D3A" w:rsidRPr="004A7158" w:rsidRDefault="006A3D3A" w:rsidP="003A152E">
            <w:pPr>
              <w:pStyle w:val="naiskr"/>
              <w:spacing w:before="0" w:after="0"/>
              <w:rPr>
                <w:color w:val="000000"/>
                <w:sz w:val="28"/>
                <w:szCs w:val="28"/>
              </w:rPr>
            </w:pPr>
          </w:p>
        </w:tc>
        <w:tc>
          <w:tcPr>
            <w:tcW w:w="4779" w:type="dxa"/>
          </w:tcPr>
          <w:p w:rsidR="006A3D3A" w:rsidRPr="004A7158" w:rsidRDefault="006A3D3A" w:rsidP="00F07F6C">
            <w:pPr>
              <w:pStyle w:val="FootnoteText"/>
              <w:rPr>
                <w:color w:val="000000"/>
                <w:sz w:val="28"/>
                <w:szCs w:val="28"/>
              </w:rPr>
            </w:pPr>
            <w:r w:rsidRPr="004A7158">
              <w:rPr>
                <w:color w:val="000000"/>
                <w:sz w:val="28"/>
                <w:szCs w:val="28"/>
              </w:rPr>
              <w:t>Projekts šo jomu neskar.</w:t>
            </w:r>
          </w:p>
        </w:tc>
      </w:tr>
      <w:tr w:rsidR="006A3D3A" w:rsidRPr="00CC7329" w:rsidTr="00FF7777">
        <w:trPr>
          <w:trHeight w:val="384"/>
        </w:trPr>
        <w:tc>
          <w:tcPr>
            <w:tcW w:w="550" w:type="dxa"/>
          </w:tcPr>
          <w:p w:rsidR="006A3D3A" w:rsidRPr="00CC7329" w:rsidRDefault="006A3D3A" w:rsidP="003A152E">
            <w:pPr>
              <w:pStyle w:val="naiskr"/>
              <w:spacing w:before="0" w:after="0"/>
            </w:pPr>
            <w:r w:rsidRPr="00CC7329">
              <w:rPr>
                <w:sz w:val="28"/>
                <w:szCs w:val="28"/>
              </w:rPr>
              <w:t>4.</w:t>
            </w:r>
          </w:p>
        </w:tc>
        <w:tc>
          <w:tcPr>
            <w:tcW w:w="4315" w:type="dxa"/>
          </w:tcPr>
          <w:p w:rsidR="006A3D3A" w:rsidRPr="00CC7329" w:rsidRDefault="006A3D3A" w:rsidP="003A152E">
            <w:pPr>
              <w:pStyle w:val="naiskr"/>
              <w:spacing w:before="0" w:after="0"/>
            </w:pPr>
            <w:r w:rsidRPr="00CC7329">
              <w:rPr>
                <w:sz w:val="28"/>
                <w:szCs w:val="28"/>
              </w:rPr>
              <w:t>Tiesiskā regulējuma mērķis un būtība</w:t>
            </w:r>
          </w:p>
        </w:tc>
        <w:tc>
          <w:tcPr>
            <w:tcW w:w="4779" w:type="dxa"/>
          </w:tcPr>
          <w:p w:rsidR="006A3D3A" w:rsidRPr="00CC7329" w:rsidRDefault="006A3D3A" w:rsidP="00F07F6C">
            <w:pPr>
              <w:pStyle w:val="CommentText"/>
              <w:spacing w:line="240" w:lineRule="auto"/>
              <w:ind w:firstLine="0"/>
              <w:jc w:val="both"/>
              <w:rPr>
                <w:sz w:val="28"/>
                <w:szCs w:val="28"/>
              </w:rPr>
            </w:pPr>
            <w:r w:rsidRPr="00CC7329">
              <w:rPr>
                <w:sz w:val="28"/>
                <w:szCs w:val="28"/>
              </w:rPr>
              <w:t>Noteikumu projekts nosaka laiku, kurā  vispārējās izglītības iestādēs sāk un pabeidz 201</w:t>
            </w:r>
            <w:r>
              <w:rPr>
                <w:sz w:val="28"/>
                <w:szCs w:val="28"/>
              </w:rPr>
              <w:t>3</w:t>
            </w:r>
            <w:r w:rsidRPr="00CC7329">
              <w:rPr>
                <w:sz w:val="28"/>
                <w:szCs w:val="28"/>
              </w:rPr>
              <w:t>./201</w:t>
            </w:r>
            <w:r>
              <w:rPr>
                <w:sz w:val="28"/>
                <w:szCs w:val="28"/>
              </w:rPr>
              <w:t>4</w:t>
            </w:r>
            <w:r w:rsidRPr="00CC7329">
              <w:rPr>
                <w:sz w:val="28"/>
                <w:szCs w:val="28"/>
              </w:rPr>
              <w:t>.mācību gadu un organizē brīvlaikus.</w:t>
            </w:r>
          </w:p>
          <w:p w:rsidR="006A3D3A" w:rsidRDefault="006A3D3A" w:rsidP="00131610">
            <w:pPr>
              <w:pStyle w:val="CommentText"/>
              <w:spacing w:line="240" w:lineRule="auto"/>
              <w:ind w:firstLine="0"/>
              <w:jc w:val="both"/>
              <w:rPr>
                <w:sz w:val="28"/>
                <w:szCs w:val="28"/>
              </w:rPr>
            </w:pPr>
            <w:r w:rsidRPr="00CC7329">
              <w:rPr>
                <w:sz w:val="28"/>
                <w:szCs w:val="28"/>
              </w:rPr>
              <w:t>Noteikumu projekts nosaka, ka izglītības iestādes dibinātājam ir tiesības pieņemt lēmumu par mācību gada pagarinājumu, ja rodas ārkārtējas situācijas.</w:t>
            </w:r>
          </w:p>
          <w:p w:rsidR="00FA057F" w:rsidRPr="00CC7329" w:rsidRDefault="00FA057F" w:rsidP="00131610">
            <w:pPr>
              <w:pStyle w:val="CommentText"/>
              <w:spacing w:line="240" w:lineRule="auto"/>
              <w:ind w:firstLine="0"/>
              <w:jc w:val="both"/>
              <w:rPr>
                <w:sz w:val="28"/>
                <w:szCs w:val="28"/>
              </w:rPr>
            </w:pPr>
            <w:r>
              <w:rPr>
                <w:sz w:val="28"/>
                <w:szCs w:val="28"/>
              </w:rPr>
              <w:t xml:space="preserve">Noteikumu projekts nosaka, </w:t>
            </w:r>
            <w:r w:rsidR="0009056A">
              <w:rPr>
                <w:sz w:val="28"/>
                <w:szCs w:val="28"/>
              </w:rPr>
              <w:t xml:space="preserve">ka </w:t>
            </w:r>
            <w:r>
              <w:rPr>
                <w:sz w:val="28"/>
                <w:szCs w:val="28"/>
              </w:rPr>
              <w:t xml:space="preserve">izglītības iestāde patstāvīgi pieņem </w:t>
            </w:r>
            <w:smartTag w:uri="schemas-tilde-lv/tildestengine" w:element="veidnes">
              <w:smartTagPr>
                <w:attr w:name="text" w:val="lēmumu"/>
                <w:attr w:name="id" w:val="-1"/>
                <w:attr w:name="baseform" w:val="lēmum|s"/>
              </w:smartTagPr>
              <w:r>
                <w:rPr>
                  <w:sz w:val="28"/>
                  <w:szCs w:val="28"/>
                </w:rPr>
                <w:t>lēmumu</w:t>
              </w:r>
            </w:smartTag>
            <w:r>
              <w:rPr>
                <w:sz w:val="28"/>
                <w:szCs w:val="28"/>
              </w:rPr>
              <w:t xml:space="preserve"> par projektu</w:t>
            </w:r>
            <w:r w:rsidR="00B736F7">
              <w:rPr>
                <w:sz w:val="28"/>
                <w:szCs w:val="28"/>
              </w:rPr>
              <w:t xml:space="preserve"> </w:t>
            </w:r>
            <w:r>
              <w:rPr>
                <w:sz w:val="28"/>
                <w:szCs w:val="28"/>
              </w:rPr>
              <w:t xml:space="preserve">norises laiku, kas nepārsniedz piecas darba dienas mācību gadā.  </w:t>
            </w:r>
          </w:p>
        </w:tc>
      </w:tr>
      <w:tr w:rsidR="006A3D3A" w:rsidRPr="00CC7329" w:rsidTr="00FF7777">
        <w:trPr>
          <w:trHeight w:val="476"/>
        </w:trPr>
        <w:tc>
          <w:tcPr>
            <w:tcW w:w="550" w:type="dxa"/>
          </w:tcPr>
          <w:p w:rsidR="006A3D3A" w:rsidRPr="00CC7329" w:rsidRDefault="006A3D3A" w:rsidP="003A152E">
            <w:pPr>
              <w:pStyle w:val="naiskr"/>
              <w:spacing w:before="0" w:after="0"/>
            </w:pPr>
            <w:r w:rsidRPr="00CC7329">
              <w:rPr>
                <w:sz w:val="28"/>
                <w:szCs w:val="28"/>
              </w:rPr>
              <w:t>5.</w:t>
            </w:r>
          </w:p>
        </w:tc>
        <w:tc>
          <w:tcPr>
            <w:tcW w:w="4315" w:type="dxa"/>
          </w:tcPr>
          <w:p w:rsidR="006A3D3A" w:rsidRPr="00CC7329" w:rsidRDefault="006A3D3A" w:rsidP="003A152E">
            <w:pPr>
              <w:pStyle w:val="naiskr"/>
              <w:spacing w:before="0" w:after="0"/>
            </w:pPr>
            <w:r w:rsidRPr="00CC7329">
              <w:rPr>
                <w:sz w:val="28"/>
                <w:szCs w:val="28"/>
              </w:rPr>
              <w:t>Projekta izstrādē iesaistītās institūcijas</w:t>
            </w:r>
          </w:p>
        </w:tc>
        <w:tc>
          <w:tcPr>
            <w:tcW w:w="4779" w:type="dxa"/>
          </w:tcPr>
          <w:p w:rsidR="006A3D3A" w:rsidRPr="00CC7329" w:rsidRDefault="006A3D3A" w:rsidP="00F07F6C">
            <w:pPr>
              <w:pStyle w:val="naiskr"/>
              <w:spacing w:before="0" w:after="0"/>
            </w:pPr>
            <w:r>
              <w:rPr>
                <w:sz w:val="28"/>
                <w:szCs w:val="28"/>
              </w:rPr>
              <w:t>Projekts šo jomu neskar.</w:t>
            </w:r>
          </w:p>
        </w:tc>
      </w:tr>
      <w:tr w:rsidR="006A3D3A" w:rsidRPr="00CC7329" w:rsidTr="00FF7777">
        <w:trPr>
          <w:trHeight w:val="889"/>
        </w:trPr>
        <w:tc>
          <w:tcPr>
            <w:tcW w:w="550" w:type="dxa"/>
          </w:tcPr>
          <w:p w:rsidR="006A3D3A" w:rsidRPr="00CC7329" w:rsidRDefault="006A3D3A" w:rsidP="003A152E">
            <w:pPr>
              <w:pStyle w:val="naiskr"/>
              <w:spacing w:before="0" w:after="0"/>
            </w:pPr>
            <w:r w:rsidRPr="00CC7329">
              <w:rPr>
                <w:sz w:val="28"/>
                <w:szCs w:val="28"/>
              </w:rPr>
              <w:t>6.</w:t>
            </w:r>
          </w:p>
        </w:tc>
        <w:tc>
          <w:tcPr>
            <w:tcW w:w="4315" w:type="dxa"/>
          </w:tcPr>
          <w:p w:rsidR="006A3D3A" w:rsidRPr="00CC7329" w:rsidRDefault="006A3D3A" w:rsidP="003A152E">
            <w:pPr>
              <w:pStyle w:val="naiskr"/>
              <w:spacing w:before="0" w:after="0"/>
              <w:rPr>
                <w:i/>
                <w:iCs/>
                <w:highlight w:val="yellow"/>
              </w:rPr>
            </w:pPr>
            <w:r w:rsidRPr="00CC7329">
              <w:rPr>
                <w:sz w:val="28"/>
                <w:szCs w:val="28"/>
              </w:rPr>
              <w:t>Iemesli, kādēļ netika nodrošināta sabiedrības līdzdalība</w:t>
            </w:r>
          </w:p>
        </w:tc>
        <w:tc>
          <w:tcPr>
            <w:tcW w:w="4779" w:type="dxa"/>
          </w:tcPr>
          <w:p w:rsidR="006A3D3A" w:rsidRPr="000148BE" w:rsidRDefault="006A3D3A" w:rsidP="00E55DE3">
            <w:pPr>
              <w:jc w:val="both"/>
            </w:pPr>
            <w:r w:rsidRPr="000148BE">
              <w:rPr>
                <w:sz w:val="28"/>
                <w:szCs w:val="28"/>
              </w:rPr>
              <w:t>Projekts šo jomu neskar.</w:t>
            </w:r>
          </w:p>
        </w:tc>
      </w:tr>
      <w:tr w:rsidR="006A3D3A" w:rsidRPr="00CC7329" w:rsidTr="00FF7777">
        <w:tc>
          <w:tcPr>
            <w:tcW w:w="550" w:type="dxa"/>
          </w:tcPr>
          <w:p w:rsidR="006A3D3A" w:rsidRPr="00CC7329" w:rsidRDefault="006A3D3A" w:rsidP="003A152E">
            <w:pPr>
              <w:pStyle w:val="naiskr"/>
              <w:spacing w:before="0" w:after="0"/>
            </w:pPr>
            <w:r w:rsidRPr="00CC7329">
              <w:rPr>
                <w:sz w:val="28"/>
                <w:szCs w:val="28"/>
              </w:rPr>
              <w:t>7.</w:t>
            </w:r>
          </w:p>
        </w:tc>
        <w:tc>
          <w:tcPr>
            <w:tcW w:w="4315" w:type="dxa"/>
          </w:tcPr>
          <w:p w:rsidR="006A3D3A" w:rsidRPr="00CC7329" w:rsidRDefault="006A3D3A" w:rsidP="003A152E">
            <w:pPr>
              <w:pStyle w:val="naiskr"/>
              <w:spacing w:before="0" w:after="0"/>
            </w:pPr>
            <w:r w:rsidRPr="00CC7329">
              <w:rPr>
                <w:sz w:val="28"/>
                <w:szCs w:val="28"/>
              </w:rPr>
              <w:t>Cita informācija</w:t>
            </w:r>
          </w:p>
        </w:tc>
        <w:tc>
          <w:tcPr>
            <w:tcW w:w="4779" w:type="dxa"/>
          </w:tcPr>
          <w:p w:rsidR="006A3D3A" w:rsidRPr="00CC7329" w:rsidRDefault="006A3D3A" w:rsidP="00F07F6C">
            <w:pPr>
              <w:pStyle w:val="naiskr"/>
              <w:spacing w:before="0" w:after="0"/>
            </w:pPr>
            <w:r>
              <w:rPr>
                <w:sz w:val="28"/>
                <w:szCs w:val="28"/>
              </w:rPr>
              <w:t>Nav.</w:t>
            </w:r>
          </w:p>
        </w:tc>
      </w:tr>
    </w:tbl>
    <w:p w:rsidR="006A3D3A" w:rsidRDefault="006A3D3A" w:rsidP="00781A2F">
      <w:pPr>
        <w:rPr>
          <w:i/>
          <w:iCs/>
          <w:sz w:val="28"/>
          <w:szCs w:val="28"/>
        </w:rPr>
      </w:pPr>
    </w:p>
    <w:tbl>
      <w:tblPr>
        <w:tblpPr w:leftFromText="181" w:rightFromText="181" w:vertAnchor="text" w:tblpXSpec="center" w:tblpY="148"/>
        <w:tblOverlap w:val="never"/>
        <w:tblW w:w="9724" w:type="dxa"/>
        <w:tblLayout w:type="fixed"/>
        <w:tblCellMar>
          <w:left w:w="0" w:type="dxa"/>
          <w:right w:w="0" w:type="dxa"/>
        </w:tblCellMar>
        <w:tblLook w:val="0000" w:firstRow="0" w:lastRow="0" w:firstColumn="0" w:lastColumn="0" w:noHBand="0" w:noVBand="0"/>
      </w:tblPr>
      <w:tblGrid>
        <w:gridCol w:w="572"/>
        <w:gridCol w:w="4253"/>
        <w:gridCol w:w="4899"/>
      </w:tblGrid>
      <w:tr w:rsidR="006A3D3A" w:rsidRPr="000148BE" w:rsidTr="00594443">
        <w:tc>
          <w:tcPr>
            <w:tcW w:w="9724" w:type="dxa"/>
            <w:gridSpan w:val="3"/>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center"/>
              <w:rPr>
                <w:b/>
                <w:bCs/>
              </w:rPr>
            </w:pPr>
            <w:r w:rsidRPr="000148BE">
              <w:rPr>
                <w:b/>
                <w:bCs/>
                <w:sz w:val="28"/>
                <w:szCs w:val="28"/>
              </w:rPr>
              <w:t>II Tiesību akta projekta ietekme uz sabiedrību</w:t>
            </w:r>
          </w:p>
          <w:p w:rsidR="006A3D3A" w:rsidRPr="000148BE" w:rsidRDefault="006A3D3A" w:rsidP="00594443">
            <w:pPr>
              <w:jc w:val="center"/>
            </w:pP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1.</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Sabiedrības mērķgrupa</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tabs>
                <w:tab w:val="left" w:pos="522"/>
              </w:tabs>
              <w:jc w:val="both"/>
            </w:pPr>
            <w:r w:rsidRPr="000148BE">
              <w:rPr>
                <w:sz w:val="28"/>
                <w:szCs w:val="28"/>
              </w:rPr>
              <w:t xml:space="preserve">Noteikumu projekts attiecas uz </w:t>
            </w:r>
            <w:r>
              <w:rPr>
                <w:sz w:val="28"/>
                <w:szCs w:val="28"/>
              </w:rPr>
              <w:t>vispārējās izglītības iestāžu 1.-12.klašu izglītojamajiem</w:t>
            </w:r>
            <w:r w:rsidR="00E71FFD">
              <w:rPr>
                <w:sz w:val="28"/>
                <w:szCs w:val="28"/>
              </w:rPr>
              <w:t xml:space="preserve"> (~ 202300 izglītojamie)</w:t>
            </w:r>
            <w:r>
              <w:rPr>
                <w:sz w:val="28"/>
                <w:szCs w:val="28"/>
              </w:rPr>
              <w:t>.</w:t>
            </w:r>
          </w:p>
          <w:p w:rsidR="006A3D3A" w:rsidRPr="000148BE" w:rsidRDefault="006A3D3A" w:rsidP="00594443">
            <w:pPr>
              <w:tabs>
                <w:tab w:val="left" w:pos="522"/>
              </w:tabs>
              <w:jc w:val="both"/>
            </w:pP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2. </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Citas sabiedrības grupas (bez mērķgrupas), kuras tiesiskais regulējum</w:t>
            </w:r>
            <w:r>
              <w:rPr>
                <w:sz w:val="28"/>
                <w:szCs w:val="28"/>
              </w:rPr>
              <w:t>s</w:t>
            </w:r>
            <w:r w:rsidRPr="000148BE">
              <w:rPr>
                <w:sz w:val="28"/>
                <w:szCs w:val="28"/>
              </w:rPr>
              <w:t xml:space="preserve"> arī ietekmē vai varētu ietekmēt</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EB010E" w:rsidP="00EB010E">
            <w:pPr>
              <w:jc w:val="both"/>
            </w:pPr>
            <w:r>
              <w:rPr>
                <w:sz w:val="28"/>
                <w:szCs w:val="28"/>
              </w:rPr>
              <w:t xml:space="preserve">Vispārējās izglītības iestāžu </w:t>
            </w:r>
            <w:r w:rsidR="007D0177">
              <w:rPr>
                <w:sz w:val="28"/>
                <w:szCs w:val="28"/>
              </w:rPr>
              <w:t>1.-12.klašu izglītojamo vecāki.</w:t>
            </w:r>
            <w:r w:rsidR="006A3D3A" w:rsidRPr="000148BE">
              <w:rPr>
                <w:sz w:val="28"/>
                <w:szCs w:val="28"/>
              </w:rPr>
              <w:t xml:space="preserve"> </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3. </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Tiesiskā regulējuma finansiālā ietekme</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ind w:firstLine="33"/>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4.</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Tiesiskā regulējuma nefinansiālā ietekme</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ind w:firstLine="33"/>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5.</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Administratīvās procedūras raksturojums</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6.</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Administratīvo izmaksu monetārs novērtējums</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sidRPr="000148BE">
              <w:rPr>
                <w:sz w:val="28"/>
                <w:szCs w:val="28"/>
              </w:rPr>
              <w:t>Projekts šo jomu neskar.</w:t>
            </w:r>
          </w:p>
        </w:tc>
      </w:tr>
      <w:tr w:rsidR="006A3D3A" w:rsidRPr="000148BE" w:rsidTr="00594443">
        <w:tc>
          <w:tcPr>
            <w:tcW w:w="572"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 xml:space="preserve">7. </w:t>
            </w:r>
          </w:p>
        </w:tc>
        <w:tc>
          <w:tcPr>
            <w:tcW w:w="4253" w:type="dxa"/>
            <w:tcBorders>
              <w:top w:val="single" w:sz="4" w:space="0" w:color="000000"/>
              <w:left w:val="single" w:sz="4" w:space="0" w:color="000000"/>
              <w:bottom w:val="single" w:sz="4" w:space="0" w:color="000000"/>
            </w:tcBorders>
          </w:tcPr>
          <w:p w:rsidR="006A3D3A" w:rsidRPr="000148BE" w:rsidRDefault="006A3D3A" w:rsidP="00594443">
            <w:r w:rsidRPr="000148BE">
              <w:rPr>
                <w:sz w:val="28"/>
                <w:szCs w:val="28"/>
              </w:rPr>
              <w:t>Cita informācija</w:t>
            </w:r>
          </w:p>
        </w:tc>
        <w:tc>
          <w:tcPr>
            <w:tcW w:w="4899" w:type="dxa"/>
            <w:tcBorders>
              <w:top w:val="single" w:sz="4" w:space="0" w:color="000000"/>
              <w:left w:val="single" w:sz="4" w:space="0" w:color="000000"/>
              <w:bottom w:val="single" w:sz="4" w:space="0" w:color="000000"/>
              <w:right w:val="single" w:sz="4" w:space="0" w:color="000000"/>
            </w:tcBorders>
          </w:tcPr>
          <w:p w:rsidR="006A3D3A" w:rsidRPr="000148BE" w:rsidRDefault="006A3D3A" w:rsidP="00594443">
            <w:pPr>
              <w:jc w:val="both"/>
            </w:pPr>
            <w:r>
              <w:rPr>
                <w:sz w:val="28"/>
                <w:szCs w:val="28"/>
              </w:rPr>
              <w:t>Nav.</w:t>
            </w:r>
          </w:p>
        </w:tc>
      </w:tr>
    </w:tbl>
    <w:p w:rsidR="006A3D3A" w:rsidRDefault="006A3D3A" w:rsidP="000148BE"/>
    <w:tbl>
      <w:tblPr>
        <w:tblW w:w="9640" w:type="dxa"/>
        <w:tblInd w:w="-318" w:type="dxa"/>
        <w:tblLayout w:type="fixed"/>
        <w:tblLook w:val="0000" w:firstRow="0" w:lastRow="0" w:firstColumn="0" w:lastColumn="0" w:noHBand="0" w:noVBand="0"/>
      </w:tblPr>
      <w:tblGrid>
        <w:gridCol w:w="568"/>
        <w:gridCol w:w="4253"/>
        <w:gridCol w:w="4819"/>
      </w:tblGrid>
      <w:tr w:rsidR="00105ADA" w:rsidRPr="00105ADA" w:rsidTr="009D52BF">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rsidR="00105ADA" w:rsidRPr="00105ADA" w:rsidRDefault="00105ADA" w:rsidP="00D24EA2">
            <w:pPr>
              <w:jc w:val="center"/>
              <w:rPr>
                <w:sz w:val="28"/>
                <w:szCs w:val="28"/>
              </w:rPr>
            </w:pPr>
            <w:r w:rsidRPr="00105ADA">
              <w:rPr>
                <w:b/>
                <w:sz w:val="28"/>
                <w:szCs w:val="28"/>
              </w:rPr>
              <w:t>IV Tiesību akta projekta ietekme uz spēkā esošo tiesību normu sistēmu</w:t>
            </w:r>
          </w:p>
        </w:tc>
      </w:tr>
      <w:tr w:rsidR="00105ADA" w:rsidRPr="00105ADA" w:rsidTr="00944501">
        <w:tc>
          <w:tcPr>
            <w:tcW w:w="568"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1.</w:t>
            </w:r>
          </w:p>
        </w:tc>
        <w:tc>
          <w:tcPr>
            <w:tcW w:w="4253"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Nepieciešamie saistītie tiesību aktu projekti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736F7" w:rsidRDefault="002A302E" w:rsidP="00F769F5">
            <w:pPr>
              <w:jc w:val="both"/>
              <w:rPr>
                <w:color w:val="000000"/>
                <w:sz w:val="28"/>
                <w:szCs w:val="28"/>
              </w:rPr>
            </w:pPr>
            <w:r>
              <w:rPr>
                <w:color w:val="000000"/>
                <w:sz w:val="28"/>
                <w:szCs w:val="28"/>
              </w:rPr>
              <w:t xml:space="preserve">Noteikumu projekts valsts pārbaudījumu norises laika grafika plānojumā ir savstarpēji saskaņots ar Ministru kabineta noteikumu projektu </w:t>
            </w:r>
            <w:r w:rsidR="00F769F5">
              <w:rPr>
                <w:color w:val="000000"/>
                <w:sz w:val="28"/>
                <w:szCs w:val="28"/>
              </w:rPr>
              <w:t>„</w:t>
            </w:r>
            <w:r w:rsidRPr="00105ADA">
              <w:rPr>
                <w:color w:val="000000"/>
                <w:sz w:val="28"/>
                <w:szCs w:val="28"/>
              </w:rPr>
              <w:t>Noteikumi par valsts pārbaudes darbu norises laiku 201</w:t>
            </w:r>
            <w:r>
              <w:rPr>
                <w:color w:val="000000"/>
                <w:sz w:val="28"/>
                <w:szCs w:val="28"/>
              </w:rPr>
              <w:t>3</w:t>
            </w:r>
            <w:r w:rsidRPr="00105ADA">
              <w:rPr>
                <w:color w:val="000000"/>
                <w:sz w:val="28"/>
                <w:szCs w:val="28"/>
              </w:rPr>
              <w:t>./201</w:t>
            </w:r>
            <w:r>
              <w:rPr>
                <w:color w:val="000000"/>
                <w:sz w:val="28"/>
                <w:szCs w:val="28"/>
              </w:rPr>
              <w:t>4</w:t>
            </w:r>
            <w:r w:rsidRPr="00105ADA">
              <w:rPr>
                <w:color w:val="000000"/>
                <w:sz w:val="28"/>
                <w:szCs w:val="28"/>
              </w:rPr>
              <w:t>.mācību gadā</w:t>
            </w:r>
            <w:r>
              <w:rPr>
                <w:color w:val="000000"/>
                <w:sz w:val="28"/>
                <w:szCs w:val="28"/>
              </w:rPr>
              <w:t xml:space="preserve">”, ko izstrādā </w:t>
            </w:r>
            <w:r>
              <w:rPr>
                <w:sz w:val="28"/>
                <w:szCs w:val="28"/>
              </w:rPr>
              <w:t>Valsts izglītības satura centrs sadarbībā ar Izglītības un zinātnes ministriju</w:t>
            </w:r>
            <w:r w:rsidR="0009056A">
              <w:rPr>
                <w:sz w:val="28"/>
                <w:szCs w:val="28"/>
              </w:rPr>
              <w:t xml:space="preserve">. Minētais noteikumu projekts </w:t>
            </w:r>
            <w:r>
              <w:rPr>
                <w:color w:val="000000"/>
                <w:sz w:val="28"/>
                <w:szCs w:val="28"/>
              </w:rPr>
              <w:t>tuvākajā laikā tiks virzīt</w:t>
            </w:r>
            <w:r w:rsidR="0009056A">
              <w:rPr>
                <w:color w:val="000000"/>
                <w:sz w:val="28"/>
                <w:szCs w:val="28"/>
              </w:rPr>
              <w:t>s</w:t>
            </w:r>
            <w:r>
              <w:rPr>
                <w:color w:val="000000"/>
                <w:sz w:val="28"/>
                <w:szCs w:val="28"/>
              </w:rPr>
              <w:t xml:space="preserve"> izsludināšanai Valsts sekretāru sanāksmē.</w:t>
            </w:r>
            <w:r w:rsidR="00F769F5" w:rsidDel="00F769F5">
              <w:rPr>
                <w:color w:val="000000"/>
                <w:sz w:val="28"/>
                <w:szCs w:val="28"/>
              </w:rPr>
              <w:t xml:space="preserve"> </w:t>
            </w:r>
          </w:p>
          <w:p w:rsidR="00F769F5" w:rsidRPr="00105ADA" w:rsidRDefault="00F769F5" w:rsidP="00F769F5">
            <w:pPr>
              <w:jc w:val="both"/>
              <w:rPr>
                <w:sz w:val="28"/>
                <w:szCs w:val="28"/>
              </w:rPr>
            </w:pPr>
          </w:p>
        </w:tc>
      </w:tr>
      <w:tr w:rsidR="00105ADA" w:rsidRPr="00105ADA" w:rsidTr="00944501">
        <w:tc>
          <w:tcPr>
            <w:tcW w:w="568"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 xml:space="preserve">2. </w:t>
            </w:r>
          </w:p>
        </w:tc>
        <w:tc>
          <w:tcPr>
            <w:tcW w:w="4253" w:type="dxa"/>
            <w:tcBorders>
              <w:top w:val="single" w:sz="4" w:space="0" w:color="000000"/>
              <w:left w:val="single" w:sz="4" w:space="0" w:color="000000"/>
              <w:bottom w:val="single" w:sz="4" w:space="0" w:color="000000"/>
            </w:tcBorders>
            <w:shd w:val="clear" w:color="auto" w:fill="auto"/>
          </w:tcPr>
          <w:p w:rsidR="00105ADA" w:rsidRPr="00105ADA" w:rsidRDefault="00105ADA" w:rsidP="00D24EA2">
            <w:pPr>
              <w:rPr>
                <w:sz w:val="28"/>
                <w:szCs w:val="28"/>
              </w:rPr>
            </w:pPr>
            <w:r w:rsidRPr="00105ADA">
              <w:rPr>
                <w:sz w:val="28"/>
                <w:szCs w:val="28"/>
              </w:rPr>
              <w:t>Cita informācija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05ADA" w:rsidRPr="00105ADA" w:rsidRDefault="00105ADA" w:rsidP="00D24EA2">
            <w:pPr>
              <w:jc w:val="both"/>
              <w:rPr>
                <w:sz w:val="28"/>
                <w:szCs w:val="28"/>
              </w:rPr>
            </w:pPr>
            <w:r w:rsidRPr="00105ADA">
              <w:rPr>
                <w:sz w:val="28"/>
                <w:szCs w:val="28"/>
              </w:rPr>
              <w:t>Projekts šo jomu neskar.</w:t>
            </w:r>
          </w:p>
          <w:p w:rsidR="00105ADA" w:rsidRPr="00105ADA" w:rsidRDefault="00105ADA" w:rsidP="00D24EA2">
            <w:pPr>
              <w:jc w:val="both"/>
              <w:rPr>
                <w:sz w:val="28"/>
                <w:szCs w:val="28"/>
              </w:rPr>
            </w:pPr>
          </w:p>
        </w:tc>
      </w:tr>
    </w:tbl>
    <w:p w:rsidR="006A3D3A" w:rsidRDefault="006A3D3A" w:rsidP="00781A2F">
      <w:pPr>
        <w:rPr>
          <w:i/>
          <w:iCs/>
          <w:sz w:val="28"/>
          <w:szCs w:val="28"/>
        </w:rPr>
      </w:pPr>
    </w:p>
    <w:tbl>
      <w:tblPr>
        <w:tblpPr w:leftFromText="181" w:rightFromText="181" w:vertAnchor="text" w:tblpXSpec="center" w:tblpY="148"/>
        <w:tblOverlap w:val="neve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253"/>
        <w:gridCol w:w="4899"/>
      </w:tblGrid>
      <w:tr w:rsidR="006A3D3A" w:rsidRPr="00CC7329" w:rsidTr="00594443">
        <w:tc>
          <w:tcPr>
            <w:tcW w:w="9724" w:type="dxa"/>
            <w:gridSpan w:val="3"/>
          </w:tcPr>
          <w:p w:rsidR="006A3D3A" w:rsidRPr="00CC7329" w:rsidRDefault="006A3D3A" w:rsidP="00594443">
            <w:pPr>
              <w:pStyle w:val="naisnod"/>
              <w:spacing w:before="0" w:after="0"/>
              <w:ind w:left="57" w:right="57"/>
            </w:pPr>
            <w:r w:rsidRPr="00CC7329">
              <w:rPr>
                <w:sz w:val="28"/>
                <w:szCs w:val="28"/>
              </w:rPr>
              <w:t>VI. Sabiedrības līdzdalība un šīs līdzdalības rezultāti</w:t>
            </w: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1.</w:t>
            </w:r>
          </w:p>
        </w:tc>
        <w:tc>
          <w:tcPr>
            <w:tcW w:w="4253" w:type="dxa"/>
          </w:tcPr>
          <w:p w:rsidR="006A3D3A" w:rsidRPr="00CC7329" w:rsidRDefault="006A3D3A" w:rsidP="00594443">
            <w:pPr>
              <w:pStyle w:val="naiskr"/>
              <w:tabs>
                <w:tab w:val="left" w:pos="170"/>
              </w:tabs>
              <w:spacing w:before="0" w:after="0"/>
              <w:ind w:left="57" w:right="57"/>
            </w:pPr>
            <w:r w:rsidRPr="00CC7329">
              <w:rPr>
                <w:sz w:val="28"/>
                <w:szCs w:val="28"/>
              </w:rPr>
              <w:t>Sabiedrības informēšana par projekta izstrādes uzsākšanu</w:t>
            </w:r>
          </w:p>
        </w:tc>
        <w:tc>
          <w:tcPr>
            <w:tcW w:w="4899" w:type="dxa"/>
          </w:tcPr>
          <w:p w:rsidR="006A3D3A" w:rsidRPr="00872635" w:rsidRDefault="006A3D3A" w:rsidP="00594443">
            <w:pPr>
              <w:jc w:val="both"/>
            </w:pPr>
            <w:r w:rsidRPr="00CC7329">
              <w:rPr>
                <w:sz w:val="28"/>
                <w:szCs w:val="28"/>
              </w:rPr>
              <w:t xml:space="preserve">Sabiedrības informēšanas pasākumi – </w:t>
            </w:r>
            <w:r>
              <w:rPr>
                <w:sz w:val="28"/>
                <w:szCs w:val="28"/>
              </w:rPr>
              <w:t>2012.gada 19.decembrī</w:t>
            </w:r>
            <w:r w:rsidRPr="00CC7329">
              <w:rPr>
                <w:sz w:val="28"/>
                <w:szCs w:val="28"/>
              </w:rPr>
              <w:t xml:space="preserve"> informācija sniegta novadu un republikas pilsētu izglītības speciālistu seminārā</w:t>
            </w:r>
            <w:r>
              <w:rPr>
                <w:sz w:val="28"/>
                <w:szCs w:val="28"/>
              </w:rPr>
              <w:t xml:space="preserve">; 2013.gada 11.janvārī Amatas novada pašvaldības administrācijas darbiniekiem; 2013.gada 16.janvārī Saldus novada domes skolu vadītāju seminārā. </w:t>
            </w:r>
          </w:p>
          <w:p w:rsidR="006A3D3A" w:rsidRPr="00CC7329" w:rsidRDefault="006A3D3A" w:rsidP="00594443">
            <w:pPr>
              <w:pStyle w:val="naiskr"/>
              <w:spacing w:before="0" w:after="0"/>
              <w:ind w:left="57" w:right="57"/>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2.</w:t>
            </w:r>
          </w:p>
        </w:tc>
        <w:tc>
          <w:tcPr>
            <w:tcW w:w="4253" w:type="dxa"/>
          </w:tcPr>
          <w:p w:rsidR="006A3D3A" w:rsidRPr="00CC7329" w:rsidRDefault="006A3D3A" w:rsidP="00594443">
            <w:pPr>
              <w:pStyle w:val="naiskr"/>
              <w:spacing w:before="0" w:after="0"/>
              <w:ind w:left="57" w:right="57"/>
            </w:pPr>
            <w:r w:rsidRPr="00CC7329">
              <w:rPr>
                <w:sz w:val="28"/>
                <w:szCs w:val="28"/>
              </w:rPr>
              <w:t xml:space="preserve">Sabiedrības līdzdalība projekta izstrādē </w:t>
            </w:r>
          </w:p>
        </w:tc>
        <w:tc>
          <w:tcPr>
            <w:tcW w:w="4899" w:type="dxa"/>
          </w:tcPr>
          <w:p w:rsidR="007D0177" w:rsidRDefault="006A3D3A" w:rsidP="007D0177">
            <w:pPr>
              <w:jc w:val="both"/>
              <w:rPr>
                <w:rStyle w:val="Emphasis"/>
                <w:i w:val="0"/>
                <w:sz w:val="28"/>
                <w:szCs w:val="28"/>
              </w:rPr>
            </w:pPr>
            <w:r w:rsidRPr="00A72701">
              <w:rPr>
                <w:sz w:val="28"/>
                <w:szCs w:val="28"/>
              </w:rPr>
              <w:t>Noteikumu projekts apspriests Izglītības un zinātnes ministrijas darba grupās, kuras strādā</w:t>
            </w:r>
            <w:r>
              <w:rPr>
                <w:sz w:val="28"/>
                <w:szCs w:val="28"/>
              </w:rPr>
              <w:t xml:space="preserve"> </w:t>
            </w:r>
            <w:r w:rsidRPr="00A72701">
              <w:rPr>
                <w:sz w:val="28"/>
                <w:szCs w:val="28"/>
              </w:rPr>
              <w:t>pie Reformu īstenošanas rīcības plāna vispārējā izglītībā</w:t>
            </w:r>
            <w:r>
              <w:rPr>
                <w:sz w:val="28"/>
                <w:szCs w:val="28"/>
              </w:rPr>
              <w:t xml:space="preserve"> īstenošanas</w:t>
            </w:r>
            <w:r w:rsidRPr="00A72701">
              <w:rPr>
                <w:sz w:val="28"/>
                <w:szCs w:val="28"/>
              </w:rPr>
              <w:t xml:space="preserve">. Darba grupās darbojās deleģēti pārstāvji no Latvijas </w:t>
            </w:r>
            <w:r>
              <w:rPr>
                <w:sz w:val="28"/>
                <w:szCs w:val="28"/>
              </w:rPr>
              <w:t>I</w:t>
            </w:r>
            <w:r w:rsidRPr="00A72701">
              <w:rPr>
                <w:sz w:val="28"/>
                <w:szCs w:val="28"/>
              </w:rPr>
              <w:t>zglītības</w:t>
            </w:r>
            <w:r>
              <w:rPr>
                <w:sz w:val="28"/>
                <w:szCs w:val="28"/>
              </w:rPr>
              <w:t xml:space="preserve"> un zinātn</w:t>
            </w:r>
            <w:r w:rsidR="00657A04">
              <w:rPr>
                <w:sz w:val="28"/>
                <w:szCs w:val="28"/>
              </w:rPr>
              <w:t>es</w:t>
            </w:r>
            <w:r>
              <w:rPr>
                <w:sz w:val="28"/>
                <w:szCs w:val="28"/>
              </w:rPr>
              <w:t xml:space="preserve"> </w:t>
            </w:r>
            <w:r w:rsidRPr="00A72701">
              <w:rPr>
                <w:sz w:val="28"/>
                <w:szCs w:val="28"/>
              </w:rPr>
              <w:t xml:space="preserve">darbinieku arodbiedrības, Latvijas Izglītības vadītāju asociācijas, </w:t>
            </w:r>
            <w:r w:rsidR="000D4235">
              <w:rPr>
                <w:sz w:val="28"/>
                <w:szCs w:val="28"/>
              </w:rPr>
              <w:t>b</w:t>
            </w:r>
            <w:r w:rsidR="007D0177" w:rsidRPr="00483270">
              <w:rPr>
                <w:bCs/>
                <w:color w:val="000000"/>
                <w:sz w:val="28"/>
                <w:szCs w:val="28"/>
              </w:rPr>
              <w:t>iedrība</w:t>
            </w:r>
            <w:r w:rsidR="007D0177">
              <w:rPr>
                <w:bCs/>
                <w:color w:val="000000"/>
                <w:sz w:val="28"/>
                <w:szCs w:val="28"/>
              </w:rPr>
              <w:t>s</w:t>
            </w:r>
            <w:r w:rsidR="007D0177" w:rsidRPr="00483270">
              <w:rPr>
                <w:bCs/>
                <w:color w:val="000000"/>
                <w:sz w:val="28"/>
                <w:szCs w:val="28"/>
              </w:rPr>
              <w:t xml:space="preserve"> „Latvijas Skolu psihologu asociācija”</w:t>
            </w:r>
            <w:r w:rsidR="007D0177">
              <w:rPr>
                <w:bCs/>
                <w:color w:val="000000"/>
                <w:sz w:val="28"/>
                <w:szCs w:val="28"/>
              </w:rPr>
              <w:t>,</w:t>
            </w:r>
            <w:r w:rsidR="007D0177">
              <w:rPr>
                <w:sz w:val="28"/>
                <w:szCs w:val="28"/>
              </w:rPr>
              <w:t xml:space="preserve"> </w:t>
            </w:r>
            <w:r w:rsidR="000D4235">
              <w:rPr>
                <w:sz w:val="28"/>
                <w:szCs w:val="28"/>
              </w:rPr>
              <w:t>b</w:t>
            </w:r>
            <w:r w:rsidR="007D0177">
              <w:rPr>
                <w:sz w:val="28"/>
                <w:szCs w:val="28"/>
              </w:rPr>
              <w:t xml:space="preserve">iedrības </w:t>
            </w:r>
            <w:r w:rsidR="007D0177" w:rsidRPr="00FB0C04">
              <w:rPr>
                <w:sz w:val="28"/>
                <w:szCs w:val="28"/>
              </w:rPr>
              <w:t>„</w:t>
            </w:r>
            <w:r w:rsidR="007D0177" w:rsidRPr="00657C37">
              <w:rPr>
                <w:rStyle w:val="Emphasis"/>
                <w:i w:val="0"/>
                <w:sz w:val="28"/>
                <w:szCs w:val="28"/>
              </w:rPr>
              <w:t>Latvijas vecāku kustība</w:t>
            </w:r>
            <w:r w:rsidR="007D0177">
              <w:rPr>
                <w:rStyle w:val="Emphasis"/>
                <w:i w:val="0"/>
                <w:sz w:val="28"/>
                <w:szCs w:val="28"/>
              </w:rPr>
              <w:t xml:space="preserve">”,  </w:t>
            </w:r>
            <w:r w:rsidR="007D0177">
              <w:rPr>
                <w:rFonts w:eastAsia="Calibri"/>
                <w:sz w:val="28"/>
                <w:szCs w:val="28"/>
              </w:rPr>
              <w:t>Izglītības attīstības centra</w:t>
            </w:r>
          </w:p>
          <w:p w:rsidR="006A3D3A" w:rsidRPr="00A72701" w:rsidRDefault="006A3D3A" w:rsidP="00594443">
            <w:pPr>
              <w:jc w:val="both"/>
            </w:pPr>
            <w:r w:rsidRPr="00A72701">
              <w:rPr>
                <w:sz w:val="28"/>
                <w:szCs w:val="28"/>
              </w:rPr>
              <w:t>pārstāvji.</w:t>
            </w:r>
          </w:p>
          <w:p w:rsidR="006A3D3A" w:rsidRPr="00CC7329" w:rsidRDefault="006A3D3A" w:rsidP="00594443">
            <w:pPr>
              <w:pStyle w:val="naiskr"/>
              <w:spacing w:before="0" w:after="0"/>
              <w:ind w:right="57"/>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3.</w:t>
            </w:r>
          </w:p>
        </w:tc>
        <w:tc>
          <w:tcPr>
            <w:tcW w:w="4253" w:type="dxa"/>
          </w:tcPr>
          <w:p w:rsidR="006A3D3A" w:rsidRPr="00CC7329" w:rsidRDefault="006A3D3A" w:rsidP="00594443">
            <w:pPr>
              <w:pStyle w:val="naiskr"/>
              <w:spacing w:before="0" w:after="0"/>
              <w:ind w:left="57" w:right="57"/>
            </w:pPr>
            <w:r w:rsidRPr="00CC7329">
              <w:rPr>
                <w:sz w:val="28"/>
                <w:szCs w:val="28"/>
              </w:rPr>
              <w:t xml:space="preserve">Sabiedrības līdzdalības rezultāti </w:t>
            </w:r>
          </w:p>
        </w:tc>
        <w:tc>
          <w:tcPr>
            <w:tcW w:w="4899" w:type="dxa"/>
          </w:tcPr>
          <w:p w:rsidR="006A3D3A" w:rsidRPr="00BD0860" w:rsidRDefault="00082E15" w:rsidP="00594443">
            <w:pPr>
              <w:pStyle w:val="naiskr"/>
              <w:spacing w:before="0" w:after="0"/>
              <w:ind w:right="57"/>
              <w:jc w:val="both"/>
            </w:pPr>
            <w:r>
              <w:rPr>
                <w:sz w:val="28"/>
                <w:szCs w:val="28"/>
              </w:rPr>
              <w:t>Novadu un republikas pilsētas i</w:t>
            </w:r>
            <w:r w:rsidR="00B20C50">
              <w:rPr>
                <w:sz w:val="28"/>
                <w:szCs w:val="28"/>
              </w:rPr>
              <w:t>zglītības speciālisti, Izglītības un zinātnes ministrijas darba grupas pārstāvji, kuri strādā pie Reformu īstenošanas rīcības plāna vispārējā izglītīb</w:t>
            </w:r>
            <w:r w:rsidR="00BC75B5">
              <w:rPr>
                <w:sz w:val="28"/>
                <w:szCs w:val="28"/>
              </w:rPr>
              <w:t>ā</w:t>
            </w:r>
            <w:r w:rsidR="00B20C50">
              <w:rPr>
                <w:sz w:val="28"/>
                <w:szCs w:val="28"/>
              </w:rPr>
              <w:t xml:space="preserve">, atbalsta </w:t>
            </w:r>
            <w:r w:rsidR="00626862">
              <w:rPr>
                <w:sz w:val="28"/>
                <w:szCs w:val="28"/>
              </w:rPr>
              <w:lastRenderedPageBreak/>
              <w:t xml:space="preserve">noteikumu </w:t>
            </w:r>
            <w:r w:rsidR="00B20C50">
              <w:rPr>
                <w:sz w:val="28"/>
                <w:szCs w:val="28"/>
              </w:rPr>
              <w:t>projekta tālāko virzību.</w:t>
            </w:r>
          </w:p>
          <w:p w:rsidR="006A3D3A" w:rsidRPr="00BD0860" w:rsidRDefault="006A3D3A" w:rsidP="00594443">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lastRenderedPageBreak/>
              <w:t>4.</w:t>
            </w:r>
          </w:p>
        </w:tc>
        <w:tc>
          <w:tcPr>
            <w:tcW w:w="4253" w:type="dxa"/>
          </w:tcPr>
          <w:p w:rsidR="006A3D3A" w:rsidRPr="00CC7329" w:rsidRDefault="006A3D3A" w:rsidP="00594443">
            <w:pPr>
              <w:pStyle w:val="naiskr"/>
              <w:spacing w:before="0" w:after="0"/>
              <w:ind w:left="57" w:right="57"/>
            </w:pPr>
            <w:r w:rsidRPr="00CC7329">
              <w:rPr>
                <w:sz w:val="28"/>
                <w:szCs w:val="28"/>
              </w:rPr>
              <w:t>Saeimas un ekspertu līdzdalība</w:t>
            </w:r>
          </w:p>
        </w:tc>
        <w:tc>
          <w:tcPr>
            <w:tcW w:w="4899" w:type="dxa"/>
          </w:tcPr>
          <w:p w:rsidR="006A3D3A" w:rsidRDefault="006A3D3A" w:rsidP="00594443">
            <w:pPr>
              <w:jc w:val="both"/>
            </w:pPr>
            <w:r w:rsidRPr="000148BE">
              <w:rPr>
                <w:sz w:val="28"/>
                <w:szCs w:val="28"/>
              </w:rPr>
              <w:t>Projekts šo jomu neskar.</w:t>
            </w:r>
          </w:p>
          <w:p w:rsidR="006A3D3A" w:rsidRPr="000148BE" w:rsidRDefault="006A3D3A" w:rsidP="00594443">
            <w:pPr>
              <w:jc w:val="both"/>
            </w:pPr>
          </w:p>
        </w:tc>
      </w:tr>
      <w:tr w:rsidR="006A3D3A" w:rsidRPr="00CC7329" w:rsidTr="00594443">
        <w:tc>
          <w:tcPr>
            <w:tcW w:w="572" w:type="dxa"/>
          </w:tcPr>
          <w:p w:rsidR="006A3D3A" w:rsidRPr="00CC7329" w:rsidRDefault="006A3D3A" w:rsidP="00594443">
            <w:pPr>
              <w:pStyle w:val="naiskr"/>
              <w:spacing w:before="0" w:after="0"/>
              <w:ind w:left="57" w:right="57"/>
            </w:pPr>
            <w:r w:rsidRPr="00CC7329">
              <w:rPr>
                <w:sz w:val="28"/>
                <w:szCs w:val="28"/>
              </w:rPr>
              <w:t>5.</w:t>
            </w:r>
          </w:p>
        </w:tc>
        <w:tc>
          <w:tcPr>
            <w:tcW w:w="4253" w:type="dxa"/>
          </w:tcPr>
          <w:p w:rsidR="006A3D3A" w:rsidRPr="00CC7329" w:rsidRDefault="006A3D3A" w:rsidP="00594443">
            <w:pPr>
              <w:pStyle w:val="naiskr"/>
              <w:spacing w:before="0" w:after="0"/>
              <w:ind w:left="57" w:right="57"/>
            </w:pPr>
            <w:r w:rsidRPr="00CC7329">
              <w:rPr>
                <w:sz w:val="28"/>
                <w:szCs w:val="28"/>
              </w:rPr>
              <w:t>Cita informācija</w:t>
            </w:r>
          </w:p>
          <w:p w:rsidR="006A3D3A" w:rsidRPr="00CC7329" w:rsidRDefault="006A3D3A" w:rsidP="00594443">
            <w:pPr>
              <w:pStyle w:val="naiskr"/>
              <w:spacing w:before="0" w:after="0"/>
              <w:ind w:left="57" w:right="57"/>
            </w:pPr>
          </w:p>
        </w:tc>
        <w:tc>
          <w:tcPr>
            <w:tcW w:w="4899" w:type="dxa"/>
          </w:tcPr>
          <w:p w:rsidR="006A3D3A" w:rsidRPr="000148BE" w:rsidRDefault="006A3D3A" w:rsidP="00594443">
            <w:pPr>
              <w:jc w:val="both"/>
            </w:pPr>
            <w:r>
              <w:rPr>
                <w:sz w:val="28"/>
                <w:szCs w:val="28"/>
              </w:rPr>
              <w:t>Nav.</w:t>
            </w:r>
          </w:p>
        </w:tc>
      </w:tr>
    </w:tbl>
    <w:p w:rsidR="006A3D3A" w:rsidRPr="00CC7329" w:rsidRDefault="006A3D3A" w:rsidP="00781A2F">
      <w:pPr>
        <w:pStyle w:val="naisf"/>
        <w:spacing w:before="0" w:after="0"/>
        <w:rPr>
          <w:sz w:val="28"/>
          <w:szCs w:val="28"/>
        </w:rPr>
      </w:pPr>
    </w:p>
    <w:tbl>
      <w:tblPr>
        <w:tblW w:w="97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3"/>
        <w:gridCol w:w="4885"/>
      </w:tblGrid>
      <w:tr w:rsidR="006A3D3A" w:rsidRPr="00CC7329" w:rsidTr="0084006B">
        <w:tc>
          <w:tcPr>
            <w:tcW w:w="9706" w:type="dxa"/>
            <w:gridSpan w:val="3"/>
          </w:tcPr>
          <w:p w:rsidR="006A3D3A" w:rsidRPr="00CC7329" w:rsidRDefault="006A3D3A" w:rsidP="003A152E">
            <w:pPr>
              <w:pStyle w:val="naisnod"/>
              <w:spacing w:before="0" w:after="0"/>
              <w:ind w:left="57" w:right="57"/>
            </w:pPr>
            <w:r w:rsidRPr="00CC7329">
              <w:rPr>
                <w:sz w:val="28"/>
                <w:szCs w:val="28"/>
              </w:rPr>
              <w:t>VII. Tiesību akta projekta izpildes nodrošināšana un tās ietekme uz institūcijām</w:t>
            </w:r>
          </w:p>
        </w:tc>
      </w:tr>
      <w:tr w:rsidR="006A3D3A" w:rsidRPr="00CC7329" w:rsidTr="0084006B">
        <w:trPr>
          <w:trHeight w:val="427"/>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1.</w:t>
            </w:r>
          </w:p>
        </w:tc>
        <w:tc>
          <w:tcPr>
            <w:tcW w:w="4253" w:type="dxa"/>
          </w:tcPr>
          <w:p w:rsidR="006A3D3A" w:rsidRPr="00CC7329" w:rsidRDefault="006A3D3A" w:rsidP="003A152E">
            <w:pPr>
              <w:pStyle w:val="naisf"/>
              <w:spacing w:before="0" w:after="0"/>
              <w:ind w:left="57" w:right="57" w:firstLine="0"/>
              <w:jc w:val="left"/>
            </w:pPr>
            <w:r w:rsidRPr="00CC7329">
              <w:rPr>
                <w:sz w:val="28"/>
                <w:szCs w:val="28"/>
              </w:rPr>
              <w:t xml:space="preserve">Projekta izpildē iesaistītās institūcijas </w:t>
            </w:r>
          </w:p>
        </w:tc>
        <w:tc>
          <w:tcPr>
            <w:tcW w:w="4885" w:type="dxa"/>
          </w:tcPr>
          <w:p w:rsidR="00F311B5" w:rsidRDefault="006A3D3A" w:rsidP="00A73719">
            <w:pPr>
              <w:pStyle w:val="naisnod"/>
              <w:spacing w:before="0" w:after="0"/>
              <w:ind w:left="-108" w:right="57"/>
              <w:jc w:val="both"/>
              <w:rPr>
                <w:b w:val="0"/>
                <w:bCs w:val="0"/>
                <w:sz w:val="28"/>
                <w:szCs w:val="28"/>
              </w:rPr>
            </w:pPr>
            <w:r>
              <w:rPr>
                <w:b w:val="0"/>
                <w:bCs w:val="0"/>
                <w:sz w:val="28"/>
                <w:szCs w:val="28"/>
              </w:rPr>
              <w:t>Vispārējās izglītības iestādes, kuras īsteno vispārējās pamatizglītības programmas un vispārējās vidējās izglītības programmas.</w:t>
            </w:r>
          </w:p>
          <w:p w:rsidR="006A3D3A" w:rsidRPr="00CC7329" w:rsidRDefault="006A3D3A" w:rsidP="00A73719">
            <w:pPr>
              <w:pStyle w:val="naisnod"/>
              <w:spacing w:before="0" w:after="0"/>
              <w:ind w:left="-108" w:right="57"/>
              <w:jc w:val="both"/>
              <w:rPr>
                <w:b w:val="0"/>
                <w:bCs w:val="0"/>
              </w:rPr>
            </w:pPr>
            <w:r>
              <w:rPr>
                <w:b w:val="0"/>
                <w:bCs w:val="0"/>
                <w:sz w:val="28"/>
                <w:szCs w:val="28"/>
              </w:rPr>
              <w:t xml:space="preserve"> </w:t>
            </w:r>
          </w:p>
        </w:tc>
      </w:tr>
      <w:tr w:rsidR="006A3D3A" w:rsidRPr="00CC7329" w:rsidTr="0084006B">
        <w:trPr>
          <w:trHeight w:val="463"/>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2.</w:t>
            </w:r>
          </w:p>
        </w:tc>
        <w:tc>
          <w:tcPr>
            <w:tcW w:w="4253" w:type="dxa"/>
          </w:tcPr>
          <w:p w:rsidR="006A3D3A" w:rsidRPr="00CC7329" w:rsidRDefault="006A3D3A" w:rsidP="003A152E">
            <w:pPr>
              <w:pStyle w:val="naisf"/>
              <w:spacing w:before="0" w:after="0"/>
              <w:ind w:left="57" w:right="57" w:firstLine="0"/>
              <w:jc w:val="left"/>
            </w:pPr>
            <w:r w:rsidRPr="00CC7329">
              <w:rPr>
                <w:sz w:val="28"/>
                <w:szCs w:val="28"/>
              </w:rPr>
              <w:t xml:space="preserve">Projekta izpildes ietekme uz pārvaldes funkcijām </w:t>
            </w:r>
          </w:p>
        </w:tc>
        <w:tc>
          <w:tcPr>
            <w:tcW w:w="4885" w:type="dxa"/>
          </w:tcPr>
          <w:p w:rsidR="00626862" w:rsidRDefault="00626862" w:rsidP="00A73719">
            <w:pPr>
              <w:autoSpaceDE w:val="0"/>
              <w:autoSpaceDN w:val="0"/>
              <w:adjustRightInd w:val="0"/>
              <w:spacing w:before="120" w:after="120"/>
              <w:ind w:left="-108"/>
              <w:jc w:val="both"/>
              <w:rPr>
                <w:rFonts w:eastAsia="Calibri"/>
                <w:color w:val="000000"/>
                <w:sz w:val="28"/>
                <w:szCs w:val="28"/>
                <w:lang w:eastAsia="zh-CN"/>
              </w:rPr>
            </w:pPr>
            <w:r>
              <w:rPr>
                <w:rFonts w:eastAsia="Calibri"/>
                <w:color w:val="000000"/>
                <w:sz w:val="28"/>
                <w:szCs w:val="28"/>
                <w:lang w:eastAsia="zh-CN"/>
              </w:rPr>
              <w:t>Projekta izpilde neatstās ietekmi uz to institūciju, kuras piedalīsies projekta izpildē, funkcijām un uzdevumiem.</w:t>
            </w:r>
          </w:p>
          <w:p w:rsidR="006A3D3A" w:rsidRPr="000148BE" w:rsidRDefault="006A3D3A" w:rsidP="00A73719">
            <w:pPr>
              <w:ind w:left="-108"/>
              <w:jc w:val="both"/>
            </w:pPr>
          </w:p>
        </w:tc>
      </w:tr>
      <w:tr w:rsidR="006A3D3A" w:rsidRPr="00CC7329" w:rsidTr="0084006B">
        <w:trPr>
          <w:trHeight w:val="725"/>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3.</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Jaunu institūciju izveide</w:t>
            </w:r>
          </w:p>
        </w:tc>
        <w:tc>
          <w:tcPr>
            <w:tcW w:w="4885" w:type="dxa"/>
          </w:tcPr>
          <w:p w:rsidR="00626862" w:rsidRDefault="00626862" w:rsidP="00A73719">
            <w:pPr>
              <w:autoSpaceDE w:val="0"/>
              <w:autoSpaceDN w:val="0"/>
              <w:adjustRightInd w:val="0"/>
              <w:spacing w:before="120" w:after="120"/>
              <w:ind w:left="-108"/>
              <w:jc w:val="both"/>
              <w:rPr>
                <w:rFonts w:eastAsia="Calibri"/>
                <w:color w:val="000000"/>
                <w:sz w:val="28"/>
                <w:szCs w:val="28"/>
                <w:lang w:eastAsia="zh-CN"/>
              </w:rPr>
            </w:pPr>
            <w:r>
              <w:rPr>
                <w:rFonts w:eastAsia="Calibri"/>
                <w:color w:val="000000"/>
                <w:sz w:val="28"/>
                <w:szCs w:val="28"/>
                <w:lang w:eastAsia="zh-CN"/>
              </w:rPr>
              <w:t>Normatīvā akta izpilde tiks nodrošināta esošo institūciju ietvaros.</w:t>
            </w:r>
          </w:p>
          <w:p w:rsidR="006A3D3A" w:rsidRPr="00CC7329" w:rsidRDefault="006A3D3A" w:rsidP="00A73719">
            <w:pPr>
              <w:pStyle w:val="naisnod"/>
              <w:spacing w:before="0" w:after="0"/>
              <w:ind w:left="-108" w:right="57"/>
              <w:jc w:val="both"/>
              <w:rPr>
                <w:b w:val="0"/>
                <w:bCs w:val="0"/>
              </w:rPr>
            </w:pPr>
          </w:p>
        </w:tc>
      </w:tr>
      <w:tr w:rsidR="006A3D3A" w:rsidRPr="00CC7329" w:rsidTr="0084006B">
        <w:trPr>
          <w:trHeight w:val="780"/>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4.</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Esošu institūciju likvidācija</w:t>
            </w:r>
          </w:p>
        </w:tc>
        <w:tc>
          <w:tcPr>
            <w:tcW w:w="4885" w:type="dxa"/>
          </w:tcPr>
          <w:p w:rsidR="006A3D3A" w:rsidRPr="000148BE" w:rsidRDefault="006A3D3A" w:rsidP="00A73719">
            <w:pPr>
              <w:ind w:left="-108"/>
              <w:jc w:val="both"/>
            </w:pPr>
            <w:r w:rsidRPr="000148BE">
              <w:rPr>
                <w:sz w:val="28"/>
                <w:szCs w:val="28"/>
              </w:rPr>
              <w:t>Projekts šo jomu neskar.</w:t>
            </w:r>
          </w:p>
        </w:tc>
      </w:tr>
      <w:tr w:rsidR="006A3D3A" w:rsidRPr="00CC7329" w:rsidTr="0084006B">
        <w:trPr>
          <w:trHeight w:val="703"/>
        </w:trPr>
        <w:tc>
          <w:tcPr>
            <w:tcW w:w="568" w:type="dxa"/>
          </w:tcPr>
          <w:p w:rsidR="006A3D3A" w:rsidRPr="00CC7329" w:rsidRDefault="006A3D3A" w:rsidP="003A152E">
            <w:pPr>
              <w:pStyle w:val="naisnod"/>
              <w:spacing w:before="0" w:after="0"/>
              <w:ind w:left="57" w:right="57"/>
              <w:jc w:val="left"/>
              <w:rPr>
                <w:b w:val="0"/>
                <w:bCs w:val="0"/>
              </w:rPr>
            </w:pPr>
            <w:r w:rsidRPr="00CC7329">
              <w:rPr>
                <w:b w:val="0"/>
                <w:bCs w:val="0"/>
                <w:sz w:val="28"/>
                <w:szCs w:val="28"/>
              </w:rPr>
              <w:t>5.</w:t>
            </w:r>
          </w:p>
        </w:tc>
        <w:tc>
          <w:tcPr>
            <w:tcW w:w="4253" w:type="dxa"/>
          </w:tcPr>
          <w:p w:rsidR="006A3D3A" w:rsidRPr="00CC7329" w:rsidRDefault="006A3D3A" w:rsidP="003A152E">
            <w:pPr>
              <w:pStyle w:val="naisf"/>
              <w:spacing w:before="0" w:after="0"/>
              <w:ind w:left="57" w:right="57" w:firstLine="0"/>
              <w:jc w:val="left"/>
            </w:pPr>
            <w:r w:rsidRPr="00CC7329">
              <w:rPr>
                <w:sz w:val="28"/>
                <w:szCs w:val="28"/>
              </w:rPr>
              <w:t>Projekta izpildes ietekme uz pārvaldes institucionālo struktūru.</w:t>
            </w:r>
          </w:p>
          <w:p w:rsidR="006A3D3A" w:rsidRPr="00CC7329" w:rsidRDefault="006A3D3A" w:rsidP="003A152E">
            <w:pPr>
              <w:pStyle w:val="naisf"/>
              <w:spacing w:before="0" w:after="0"/>
              <w:ind w:left="57" w:right="57" w:firstLine="0"/>
              <w:jc w:val="left"/>
            </w:pPr>
            <w:r w:rsidRPr="00CC7329">
              <w:rPr>
                <w:sz w:val="28"/>
                <w:szCs w:val="28"/>
              </w:rPr>
              <w:t>Esošu institūciju reorganizācija</w:t>
            </w:r>
          </w:p>
        </w:tc>
        <w:tc>
          <w:tcPr>
            <w:tcW w:w="4885" w:type="dxa"/>
          </w:tcPr>
          <w:p w:rsidR="006A3D3A" w:rsidRDefault="006A3D3A" w:rsidP="00A73719">
            <w:pPr>
              <w:pStyle w:val="naisnod"/>
              <w:spacing w:before="0" w:after="0"/>
              <w:ind w:left="-108" w:right="57"/>
              <w:jc w:val="both"/>
              <w:rPr>
                <w:b w:val="0"/>
                <w:bCs w:val="0"/>
              </w:rPr>
            </w:pPr>
            <w:r>
              <w:rPr>
                <w:b w:val="0"/>
                <w:bCs w:val="0"/>
                <w:sz w:val="28"/>
                <w:szCs w:val="28"/>
              </w:rPr>
              <w:t>Projekts šo jomu neskar.</w:t>
            </w:r>
          </w:p>
          <w:p w:rsidR="006A3D3A" w:rsidRPr="00CC7329" w:rsidRDefault="006A3D3A" w:rsidP="00A73719">
            <w:pPr>
              <w:pStyle w:val="naisnod"/>
              <w:spacing w:before="0" w:after="0"/>
              <w:ind w:left="-108" w:right="57"/>
              <w:jc w:val="both"/>
              <w:rPr>
                <w:b w:val="0"/>
                <w:bCs w:val="0"/>
              </w:rPr>
            </w:pPr>
          </w:p>
        </w:tc>
      </w:tr>
      <w:tr w:rsidR="006A3D3A" w:rsidRPr="00CC7329" w:rsidTr="0084006B">
        <w:trPr>
          <w:trHeight w:val="476"/>
        </w:trPr>
        <w:tc>
          <w:tcPr>
            <w:tcW w:w="568" w:type="dxa"/>
          </w:tcPr>
          <w:p w:rsidR="006A3D3A" w:rsidRPr="00CC7329" w:rsidRDefault="006A3D3A" w:rsidP="003A152E">
            <w:pPr>
              <w:pStyle w:val="naiskr"/>
              <w:spacing w:before="0" w:after="0"/>
              <w:ind w:left="57" w:right="57"/>
            </w:pPr>
            <w:r w:rsidRPr="00CC7329">
              <w:rPr>
                <w:sz w:val="28"/>
                <w:szCs w:val="28"/>
              </w:rPr>
              <w:t>6.</w:t>
            </w:r>
          </w:p>
        </w:tc>
        <w:tc>
          <w:tcPr>
            <w:tcW w:w="4253" w:type="dxa"/>
          </w:tcPr>
          <w:p w:rsidR="006A3D3A" w:rsidRPr="00CC7329" w:rsidRDefault="006A3D3A" w:rsidP="003A152E">
            <w:pPr>
              <w:pStyle w:val="naiskr"/>
              <w:spacing w:before="0" w:after="0"/>
              <w:ind w:left="57" w:right="57"/>
            </w:pPr>
            <w:r w:rsidRPr="00CC7329">
              <w:rPr>
                <w:sz w:val="28"/>
                <w:szCs w:val="28"/>
              </w:rPr>
              <w:t>Cita informācija</w:t>
            </w:r>
          </w:p>
        </w:tc>
        <w:tc>
          <w:tcPr>
            <w:tcW w:w="4885" w:type="dxa"/>
          </w:tcPr>
          <w:p w:rsidR="006A3D3A" w:rsidRPr="000148BE" w:rsidRDefault="006A3D3A" w:rsidP="00EB010E">
            <w:pPr>
              <w:ind w:left="-108"/>
              <w:jc w:val="both"/>
            </w:pPr>
            <w:r>
              <w:rPr>
                <w:sz w:val="28"/>
                <w:szCs w:val="28"/>
              </w:rPr>
              <w:t>Nav</w:t>
            </w:r>
            <w:r w:rsidRPr="000148BE">
              <w:rPr>
                <w:sz w:val="28"/>
                <w:szCs w:val="28"/>
              </w:rPr>
              <w:t>.</w:t>
            </w:r>
          </w:p>
        </w:tc>
      </w:tr>
    </w:tbl>
    <w:p w:rsidR="006A3D3A" w:rsidRPr="00CC7329" w:rsidRDefault="006A3D3A" w:rsidP="00781A2F">
      <w:pPr>
        <w:pStyle w:val="naisf"/>
        <w:tabs>
          <w:tab w:val="left" w:pos="6804"/>
        </w:tabs>
        <w:spacing w:before="0" w:after="0"/>
        <w:ind w:firstLine="720"/>
        <w:rPr>
          <w:sz w:val="28"/>
          <w:szCs w:val="28"/>
        </w:rPr>
      </w:pPr>
    </w:p>
    <w:p w:rsidR="0009056A" w:rsidRDefault="0009056A" w:rsidP="0009056A">
      <w:pPr>
        <w:rPr>
          <w:sz w:val="28"/>
          <w:szCs w:val="28"/>
        </w:rPr>
      </w:pPr>
      <w:r w:rsidRPr="00BD0860">
        <w:rPr>
          <w:sz w:val="28"/>
          <w:szCs w:val="28"/>
        </w:rPr>
        <w:t>Anotācijas III</w:t>
      </w:r>
      <w:r>
        <w:rPr>
          <w:sz w:val="28"/>
          <w:szCs w:val="28"/>
        </w:rPr>
        <w:t xml:space="preserve"> un V sadaļa </w:t>
      </w:r>
      <w:r w:rsidRPr="00BD0860">
        <w:rPr>
          <w:sz w:val="28"/>
          <w:szCs w:val="28"/>
        </w:rPr>
        <w:t>– projekts š</w:t>
      </w:r>
      <w:r>
        <w:rPr>
          <w:sz w:val="28"/>
          <w:szCs w:val="28"/>
        </w:rPr>
        <w:t>īs</w:t>
      </w:r>
      <w:r w:rsidRPr="00BD0860">
        <w:rPr>
          <w:sz w:val="28"/>
          <w:szCs w:val="28"/>
        </w:rPr>
        <w:t xml:space="preserve"> jom</w:t>
      </w:r>
      <w:r>
        <w:rPr>
          <w:sz w:val="28"/>
          <w:szCs w:val="28"/>
        </w:rPr>
        <w:t>as</w:t>
      </w:r>
      <w:r w:rsidRPr="00BD0860">
        <w:rPr>
          <w:sz w:val="28"/>
          <w:szCs w:val="28"/>
        </w:rPr>
        <w:t xml:space="preserve"> neskar.</w:t>
      </w:r>
    </w:p>
    <w:p w:rsidR="006A3D3A" w:rsidRDefault="006A3D3A" w:rsidP="00781A2F">
      <w:pPr>
        <w:pStyle w:val="naisf"/>
        <w:tabs>
          <w:tab w:val="left" w:pos="6804"/>
        </w:tabs>
        <w:spacing w:before="0" w:after="0"/>
        <w:ind w:firstLine="720"/>
        <w:rPr>
          <w:sz w:val="28"/>
          <w:szCs w:val="28"/>
        </w:rPr>
      </w:pPr>
    </w:p>
    <w:p w:rsidR="008137EC" w:rsidRPr="00CC7329" w:rsidRDefault="008137EC" w:rsidP="00781A2F">
      <w:pPr>
        <w:pStyle w:val="naisf"/>
        <w:tabs>
          <w:tab w:val="left" w:pos="6804"/>
        </w:tabs>
        <w:spacing w:before="0" w:after="0"/>
        <w:ind w:firstLine="720"/>
        <w:rPr>
          <w:sz w:val="28"/>
          <w:szCs w:val="28"/>
        </w:rPr>
      </w:pPr>
    </w:p>
    <w:p w:rsidR="00DC1755" w:rsidRDefault="00DC1755" w:rsidP="00DC1755">
      <w:pPr>
        <w:ind w:left="720"/>
        <w:rPr>
          <w:sz w:val="28"/>
          <w:szCs w:val="28"/>
        </w:rPr>
      </w:pPr>
      <w:r>
        <w:rPr>
          <w:sz w:val="28"/>
          <w:szCs w:val="28"/>
        </w:rPr>
        <w:t xml:space="preserve">Labklājības ministre, </w:t>
      </w:r>
    </w:p>
    <w:p w:rsidR="00DC1755" w:rsidRDefault="00DC1755" w:rsidP="00DC1755">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DC1755" w:rsidRDefault="00DC1755" w:rsidP="00DC1755">
      <w:pPr>
        <w:ind w:firstLine="720"/>
        <w:rPr>
          <w:sz w:val="28"/>
          <w:szCs w:val="28"/>
        </w:rPr>
      </w:pPr>
      <w:r>
        <w:rPr>
          <w:sz w:val="28"/>
          <w:szCs w:val="28"/>
        </w:rPr>
        <w:t>pienākumu izpildītāja</w:t>
      </w:r>
      <w:r w:rsidRPr="0047627A">
        <w:rPr>
          <w:sz w:val="28"/>
          <w:szCs w:val="28"/>
        </w:rPr>
        <w:tab/>
      </w:r>
      <w:r w:rsidRPr="0047627A">
        <w:rPr>
          <w:sz w:val="28"/>
          <w:szCs w:val="28"/>
        </w:rPr>
        <w:tab/>
      </w:r>
      <w:r w:rsidRPr="00CC7329" w:rsidDel="00DC1755">
        <w:rPr>
          <w:sz w:val="28"/>
          <w:szCs w:val="28"/>
        </w:rPr>
        <w:t xml:space="preserve"> </w:t>
      </w:r>
      <w:r>
        <w:rPr>
          <w:sz w:val="28"/>
          <w:szCs w:val="28"/>
        </w:rPr>
        <w:tab/>
      </w:r>
      <w:r>
        <w:rPr>
          <w:sz w:val="28"/>
          <w:szCs w:val="28"/>
        </w:rPr>
        <w:tab/>
      </w:r>
      <w:r>
        <w:rPr>
          <w:sz w:val="28"/>
          <w:szCs w:val="28"/>
        </w:rPr>
        <w:tab/>
      </w:r>
      <w:r>
        <w:rPr>
          <w:sz w:val="28"/>
          <w:szCs w:val="28"/>
        </w:rPr>
        <w:tab/>
      </w:r>
      <w:proofErr w:type="spellStart"/>
      <w:r>
        <w:rPr>
          <w:sz w:val="28"/>
          <w:szCs w:val="28"/>
        </w:rPr>
        <w:t>I.Viņķele</w:t>
      </w:r>
      <w:bookmarkStart w:id="1" w:name="str06"/>
      <w:bookmarkEnd w:id="1"/>
      <w:proofErr w:type="spellEnd"/>
    </w:p>
    <w:p w:rsidR="00DC1755" w:rsidRDefault="00DC1755" w:rsidP="00DC1755">
      <w:pPr>
        <w:ind w:firstLine="720"/>
        <w:rPr>
          <w:sz w:val="28"/>
          <w:szCs w:val="28"/>
        </w:rPr>
      </w:pPr>
    </w:p>
    <w:p w:rsidR="00DC1755" w:rsidRDefault="00DC1755" w:rsidP="00DC1755">
      <w:pPr>
        <w:ind w:firstLine="720"/>
        <w:rPr>
          <w:sz w:val="28"/>
          <w:szCs w:val="28"/>
        </w:rPr>
      </w:pPr>
    </w:p>
    <w:p w:rsidR="00DC1755" w:rsidRDefault="00DC1755" w:rsidP="00DC1755">
      <w:pPr>
        <w:ind w:firstLine="720"/>
        <w:rPr>
          <w:sz w:val="28"/>
          <w:szCs w:val="28"/>
        </w:rPr>
      </w:pPr>
      <w:r>
        <w:rPr>
          <w:sz w:val="28"/>
          <w:szCs w:val="28"/>
        </w:rPr>
        <w:t xml:space="preserve">Vizē: </w:t>
      </w:r>
    </w:p>
    <w:p w:rsidR="00DC1755" w:rsidRDefault="00DC1755" w:rsidP="00DC1755">
      <w:pPr>
        <w:ind w:left="426" w:firstLine="294"/>
        <w:rPr>
          <w:bCs/>
          <w:kern w:val="2"/>
          <w:sz w:val="28"/>
          <w:szCs w:val="28"/>
        </w:rPr>
      </w:pPr>
      <w:r>
        <w:rPr>
          <w:bCs/>
          <w:kern w:val="2"/>
          <w:sz w:val="28"/>
          <w:szCs w:val="28"/>
        </w:rPr>
        <w:t xml:space="preserve">Valsts sekretāra vietniece – </w:t>
      </w:r>
    </w:p>
    <w:p w:rsidR="00DC1755" w:rsidRDefault="00DC1755" w:rsidP="00DC1755">
      <w:pPr>
        <w:ind w:left="426" w:firstLine="294"/>
        <w:rPr>
          <w:bCs/>
          <w:kern w:val="2"/>
          <w:sz w:val="28"/>
          <w:szCs w:val="28"/>
        </w:rPr>
      </w:pPr>
      <w:r>
        <w:rPr>
          <w:bCs/>
          <w:kern w:val="2"/>
          <w:sz w:val="28"/>
          <w:szCs w:val="28"/>
        </w:rPr>
        <w:t>Struktūrfondu un starptautisko</w:t>
      </w:r>
    </w:p>
    <w:p w:rsidR="00DC1755" w:rsidRDefault="00DC1755" w:rsidP="00DC1755">
      <w:pPr>
        <w:ind w:left="426" w:firstLine="294"/>
        <w:rPr>
          <w:sz w:val="28"/>
          <w:szCs w:val="28"/>
        </w:rPr>
      </w:pPr>
      <w:r>
        <w:rPr>
          <w:bCs/>
          <w:kern w:val="2"/>
          <w:sz w:val="28"/>
          <w:szCs w:val="28"/>
        </w:rPr>
        <w:t>finanšu instrumentu departamenta direktore</w:t>
      </w:r>
      <w:r>
        <w:rPr>
          <w:sz w:val="28"/>
          <w:szCs w:val="28"/>
        </w:rPr>
        <w:t>,</w:t>
      </w:r>
    </w:p>
    <w:p w:rsidR="00DC1755" w:rsidRDefault="00DC1755" w:rsidP="00DC1755">
      <w:pPr>
        <w:ind w:left="426" w:firstLine="294"/>
        <w:rPr>
          <w:bCs/>
          <w:kern w:val="2"/>
          <w:sz w:val="28"/>
          <w:szCs w:val="28"/>
        </w:rPr>
      </w:pPr>
      <w:r>
        <w:rPr>
          <w:sz w:val="28"/>
          <w:szCs w:val="28"/>
        </w:rPr>
        <w:t xml:space="preserve">valsts sekretāra pienākumu izpildītāja </w:t>
      </w:r>
      <w:r>
        <w:rPr>
          <w:sz w:val="28"/>
          <w:szCs w:val="28"/>
        </w:rPr>
        <w:tab/>
      </w:r>
      <w:r>
        <w:rPr>
          <w:sz w:val="28"/>
          <w:szCs w:val="28"/>
        </w:rPr>
        <w:tab/>
      </w:r>
      <w:r>
        <w:rPr>
          <w:sz w:val="28"/>
          <w:szCs w:val="28"/>
        </w:rPr>
        <w:tab/>
      </w:r>
      <w:r>
        <w:rPr>
          <w:sz w:val="28"/>
          <w:szCs w:val="28"/>
        </w:rPr>
        <w:tab/>
      </w:r>
      <w:r>
        <w:rPr>
          <w:sz w:val="28"/>
          <w:szCs w:val="28"/>
        </w:rPr>
        <w:tab/>
        <w:t>L.Sīka</w:t>
      </w:r>
    </w:p>
    <w:p w:rsidR="006A3D3A" w:rsidRDefault="006A3D3A" w:rsidP="00DC1755">
      <w:pPr>
        <w:ind w:left="426"/>
      </w:pPr>
    </w:p>
    <w:p w:rsidR="006A3D3A" w:rsidRPr="00A72701" w:rsidRDefault="00DC1755" w:rsidP="00DC1755">
      <w:pPr>
        <w:ind w:firstLine="720"/>
      </w:pPr>
      <w:r>
        <w:lastRenderedPageBreak/>
        <w:t>04.03</w:t>
      </w:r>
      <w:r w:rsidR="00067882">
        <w:t>.2013</w:t>
      </w:r>
    </w:p>
    <w:p w:rsidR="00C06578" w:rsidRDefault="00DC1755" w:rsidP="00DC1755">
      <w:pPr>
        <w:ind w:firstLine="720"/>
      </w:pPr>
      <w:r>
        <w:t>930</w:t>
      </w:r>
    </w:p>
    <w:p w:rsidR="006A3D3A" w:rsidRPr="00A72701" w:rsidRDefault="006A3D3A" w:rsidP="00DC1755">
      <w:pPr>
        <w:ind w:firstLine="720"/>
      </w:pPr>
      <w:bookmarkStart w:id="2" w:name="OLE_LINK1"/>
      <w:bookmarkStart w:id="3" w:name="OLE_LINK2"/>
      <w:proofErr w:type="spellStart"/>
      <w:r w:rsidRPr="00A72701">
        <w:t>Dz.Mergupe-Kutraite</w:t>
      </w:r>
      <w:proofErr w:type="spellEnd"/>
    </w:p>
    <w:p w:rsidR="006A3D3A" w:rsidRPr="00A72701" w:rsidRDefault="006A3D3A" w:rsidP="00DC1755">
      <w:pPr>
        <w:ind w:firstLine="720"/>
      </w:pPr>
      <w:r w:rsidRPr="00A72701">
        <w:t>67047817, dzintra.mergupe@izm.gov.lv</w:t>
      </w:r>
      <w:bookmarkEnd w:id="2"/>
      <w:bookmarkEnd w:id="3"/>
    </w:p>
    <w:sectPr w:rsidR="006A3D3A" w:rsidRPr="00A72701" w:rsidSect="006A3D3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13" w:rsidRDefault="00117C13" w:rsidP="00781A2F">
      <w:r>
        <w:separator/>
      </w:r>
    </w:p>
  </w:endnote>
  <w:endnote w:type="continuationSeparator" w:id="0">
    <w:p w:rsidR="00117C13" w:rsidRDefault="00117C13" w:rsidP="0078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38" w:rsidRDefault="00A4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Pr="00781A2F" w:rsidRDefault="006A3D3A" w:rsidP="005921E0">
    <w:pPr>
      <w:jc w:val="both"/>
      <w:rPr>
        <w:b/>
        <w:bCs/>
        <w:sz w:val="28"/>
        <w:szCs w:val="28"/>
      </w:rPr>
    </w:pPr>
    <w:r>
      <w:rPr>
        <w:sz w:val="20"/>
        <w:szCs w:val="20"/>
      </w:rPr>
      <w:t>IZMAnot_</w:t>
    </w:r>
    <w:r w:rsidR="00DC1755">
      <w:rPr>
        <w:sz w:val="20"/>
        <w:szCs w:val="20"/>
      </w:rPr>
      <w:t>0403</w:t>
    </w:r>
    <w:r w:rsidR="00BE624E">
      <w:rPr>
        <w:sz w:val="20"/>
        <w:szCs w:val="20"/>
      </w:rPr>
      <w:t>13</w:t>
    </w:r>
    <w:r>
      <w:rPr>
        <w:sz w:val="20"/>
        <w:szCs w:val="20"/>
      </w:rPr>
      <w:t>_macibug;</w:t>
    </w:r>
    <w:r w:rsidRPr="00727AD8">
      <w:rPr>
        <w:sz w:val="20"/>
        <w:szCs w:val="20"/>
      </w:rPr>
      <w:t xml:space="preserve"> Ministru kabineta noteik</w:t>
    </w:r>
    <w:r>
      <w:rPr>
        <w:sz w:val="20"/>
        <w:szCs w:val="20"/>
      </w:rPr>
      <w:t>umu projekta</w:t>
    </w:r>
    <w:r w:rsidRPr="00727AD8">
      <w:rPr>
        <w:sz w:val="20"/>
        <w:szCs w:val="20"/>
      </w:rPr>
      <w:t xml:space="preserve"> „</w:t>
    </w:r>
    <w:r>
      <w:rPr>
        <w:sz w:val="20"/>
        <w:szCs w:val="20"/>
      </w:rPr>
      <w:t>Noteikumi par 2013./2014</w:t>
    </w:r>
    <w:r w:rsidRPr="00781A2F">
      <w:rPr>
        <w:sz w:val="20"/>
        <w:szCs w:val="20"/>
      </w:rPr>
      <w:t>.mācību gada</w:t>
    </w:r>
    <w:r>
      <w:rPr>
        <w:sz w:val="20"/>
        <w:szCs w:val="20"/>
      </w:rPr>
      <w:t xml:space="preserve"> </w:t>
    </w:r>
    <w:r w:rsidRPr="00781A2F">
      <w:rPr>
        <w:sz w:val="20"/>
        <w:szCs w:val="20"/>
      </w:rPr>
      <w:t>un mācību semestru sākuma un beigu laiku</w:t>
    </w:r>
    <w:r w:rsidRPr="00727AD8">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5" w:rsidRPr="00781A2F" w:rsidRDefault="00DC1755" w:rsidP="00DC1755">
    <w:pPr>
      <w:jc w:val="both"/>
      <w:rPr>
        <w:b/>
        <w:bCs/>
        <w:sz w:val="28"/>
        <w:szCs w:val="28"/>
      </w:rPr>
    </w:pPr>
    <w:r>
      <w:rPr>
        <w:sz w:val="20"/>
        <w:szCs w:val="20"/>
      </w:rPr>
      <w:t>IZMAnot_040313_macibug;</w:t>
    </w:r>
    <w:r w:rsidRPr="00727AD8">
      <w:rPr>
        <w:sz w:val="20"/>
        <w:szCs w:val="20"/>
      </w:rPr>
      <w:t xml:space="preserve"> Ministru kabineta noteik</w:t>
    </w:r>
    <w:r>
      <w:rPr>
        <w:sz w:val="20"/>
        <w:szCs w:val="20"/>
      </w:rPr>
      <w:t>umu projekta</w:t>
    </w:r>
    <w:r w:rsidRPr="00727AD8">
      <w:rPr>
        <w:sz w:val="20"/>
        <w:szCs w:val="20"/>
      </w:rPr>
      <w:t xml:space="preserve"> „</w:t>
    </w:r>
    <w:r>
      <w:rPr>
        <w:sz w:val="20"/>
        <w:szCs w:val="20"/>
      </w:rPr>
      <w:t>Noteikumi par 2013./2014</w:t>
    </w:r>
    <w:r w:rsidRPr="00781A2F">
      <w:rPr>
        <w:sz w:val="20"/>
        <w:szCs w:val="20"/>
      </w:rPr>
      <w:t>.mācību gada</w:t>
    </w:r>
    <w:r>
      <w:rPr>
        <w:sz w:val="20"/>
        <w:szCs w:val="20"/>
      </w:rPr>
      <w:t xml:space="preserve"> </w:t>
    </w:r>
    <w:r w:rsidRPr="00781A2F">
      <w:rPr>
        <w:sz w:val="20"/>
        <w:szCs w:val="20"/>
      </w:rPr>
      <w:t>un mācību semestru sākuma un beigu laiku</w:t>
    </w:r>
    <w:r w:rsidRPr="00727AD8">
      <w:rPr>
        <w:sz w:val="20"/>
        <w:szCs w:val="20"/>
      </w:rPr>
      <w:t>” sākotnējās ietekmes novērtējuma ziņojums (anotācija)</w:t>
    </w:r>
  </w:p>
  <w:p w:rsidR="006A3D3A" w:rsidRDefault="006A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13" w:rsidRDefault="00117C13" w:rsidP="00781A2F">
      <w:r>
        <w:separator/>
      </w:r>
    </w:p>
  </w:footnote>
  <w:footnote w:type="continuationSeparator" w:id="0">
    <w:p w:rsidR="00117C13" w:rsidRDefault="00117C13" w:rsidP="0078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38" w:rsidRDefault="00A46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Default="00E04B3C">
    <w:pPr>
      <w:pStyle w:val="Header"/>
      <w:jc w:val="center"/>
    </w:pPr>
    <w:r>
      <w:fldChar w:fldCharType="begin"/>
    </w:r>
    <w:r w:rsidR="00A909BD">
      <w:instrText xml:space="preserve"> PAGE   \* MERGEFORMAT </w:instrText>
    </w:r>
    <w:r>
      <w:fldChar w:fldCharType="separate"/>
    </w:r>
    <w:r w:rsidR="00116680">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3A" w:rsidRDefault="006A3D3A">
    <w:pPr>
      <w:pStyle w:val="Header"/>
      <w:jc w:val="center"/>
    </w:pPr>
  </w:p>
  <w:p w:rsidR="006A3D3A" w:rsidRDefault="006A3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EB6"/>
    <w:multiLevelType w:val="hybridMultilevel"/>
    <w:tmpl w:val="6F06A2A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nsid w:val="02482CDD"/>
    <w:multiLevelType w:val="hybridMultilevel"/>
    <w:tmpl w:val="3C7E19EE"/>
    <w:lvl w:ilvl="0" w:tplc="04260005">
      <w:start w:val="1"/>
      <w:numFmt w:val="bullet"/>
      <w:lvlText w:val=""/>
      <w:lvlJc w:val="left"/>
      <w:pPr>
        <w:tabs>
          <w:tab w:val="num" w:pos="770"/>
        </w:tabs>
        <w:ind w:left="770" w:hanging="360"/>
      </w:pPr>
      <w:rPr>
        <w:rFonts w:ascii="Wingdings" w:hAnsi="Wingdings" w:cs="Wingdings" w:hint="default"/>
      </w:rPr>
    </w:lvl>
    <w:lvl w:ilvl="1" w:tplc="0426000F">
      <w:start w:val="1"/>
      <w:numFmt w:val="decimal"/>
      <w:lvlText w:val="%2."/>
      <w:lvlJc w:val="left"/>
      <w:pPr>
        <w:tabs>
          <w:tab w:val="num" w:pos="1490"/>
        </w:tabs>
        <w:ind w:left="1490" w:hanging="360"/>
      </w:pPr>
      <w:rPr>
        <w:rFonts w:hint="default"/>
      </w:rPr>
    </w:lvl>
    <w:lvl w:ilvl="2" w:tplc="04260005">
      <w:start w:val="1"/>
      <w:numFmt w:val="bullet"/>
      <w:lvlText w:val=""/>
      <w:lvlJc w:val="left"/>
      <w:pPr>
        <w:tabs>
          <w:tab w:val="num" w:pos="2210"/>
        </w:tabs>
        <w:ind w:left="2210" w:hanging="360"/>
      </w:pPr>
      <w:rPr>
        <w:rFonts w:ascii="Wingdings" w:hAnsi="Wingdings" w:cs="Wingdings" w:hint="default"/>
      </w:rPr>
    </w:lvl>
    <w:lvl w:ilvl="3" w:tplc="04260001">
      <w:start w:val="1"/>
      <w:numFmt w:val="bullet"/>
      <w:lvlText w:val=""/>
      <w:lvlJc w:val="left"/>
      <w:pPr>
        <w:tabs>
          <w:tab w:val="num" w:pos="2930"/>
        </w:tabs>
        <w:ind w:left="2930" w:hanging="360"/>
      </w:pPr>
      <w:rPr>
        <w:rFonts w:ascii="Symbol" w:hAnsi="Symbol" w:cs="Symbol" w:hint="default"/>
      </w:rPr>
    </w:lvl>
    <w:lvl w:ilvl="4" w:tplc="04260003">
      <w:start w:val="1"/>
      <w:numFmt w:val="bullet"/>
      <w:lvlText w:val="o"/>
      <w:lvlJc w:val="left"/>
      <w:pPr>
        <w:tabs>
          <w:tab w:val="num" w:pos="3650"/>
        </w:tabs>
        <w:ind w:left="3650" w:hanging="360"/>
      </w:pPr>
      <w:rPr>
        <w:rFonts w:ascii="Courier New" w:hAnsi="Courier New" w:cs="Courier New" w:hint="default"/>
      </w:rPr>
    </w:lvl>
    <w:lvl w:ilvl="5" w:tplc="04260005">
      <w:start w:val="1"/>
      <w:numFmt w:val="bullet"/>
      <w:lvlText w:val=""/>
      <w:lvlJc w:val="left"/>
      <w:pPr>
        <w:tabs>
          <w:tab w:val="num" w:pos="4370"/>
        </w:tabs>
        <w:ind w:left="4370" w:hanging="360"/>
      </w:pPr>
      <w:rPr>
        <w:rFonts w:ascii="Wingdings" w:hAnsi="Wingdings" w:cs="Wingdings" w:hint="default"/>
      </w:rPr>
    </w:lvl>
    <w:lvl w:ilvl="6" w:tplc="04260001">
      <w:start w:val="1"/>
      <w:numFmt w:val="bullet"/>
      <w:lvlText w:val=""/>
      <w:lvlJc w:val="left"/>
      <w:pPr>
        <w:tabs>
          <w:tab w:val="num" w:pos="5090"/>
        </w:tabs>
        <w:ind w:left="5090" w:hanging="360"/>
      </w:pPr>
      <w:rPr>
        <w:rFonts w:ascii="Symbol" w:hAnsi="Symbol" w:cs="Symbol" w:hint="default"/>
      </w:rPr>
    </w:lvl>
    <w:lvl w:ilvl="7" w:tplc="04260003">
      <w:start w:val="1"/>
      <w:numFmt w:val="bullet"/>
      <w:lvlText w:val="o"/>
      <w:lvlJc w:val="left"/>
      <w:pPr>
        <w:tabs>
          <w:tab w:val="num" w:pos="5810"/>
        </w:tabs>
        <w:ind w:left="5810" w:hanging="360"/>
      </w:pPr>
      <w:rPr>
        <w:rFonts w:ascii="Courier New" w:hAnsi="Courier New" w:cs="Courier New" w:hint="default"/>
      </w:rPr>
    </w:lvl>
    <w:lvl w:ilvl="8" w:tplc="04260005">
      <w:start w:val="1"/>
      <w:numFmt w:val="bullet"/>
      <w:lvlText w:val=""/>
      <w:lvlJc w:val="left"/>
      <w:pPr>
        <w:tabs>
          <w:tab w:val="num" w:pos="6530"/>
        </w:tabs>
        <w:ind w:left="6530" w:hanging="360"/>
      </w:pPr>
      <w:rPr>
        <w:rFonts w:ascii="Wingdings" w:hAnsi="Wingdings" w:cs="Wingdings" w:hint="default"/>
      </w:rPr>
    </w:lvl>
  </w:abstractNum>
  <w:abstractNum w:abstractNumId="2">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abstractNum w:abstractNumId="3">
    <w:nsid w:val="47247614"/>
    <w:multiLevelType w:val="hybridMultilevel"/>
    <w:tmpl w:val="F594B4AC"/>
    <w:lvl w:ilvl="0" w:tplc="C40234B8">
      <w:start w:val="9"/>
      <w:numFmt w:val="bullet"/>
      <w:lvlText w:val="–"/>
      <w:lvlJc w:val="left"/>
      <w:pPr>
        <w:ind w:left="428" w:hanging="360"/>
      </w:pPr>
      <w:rPr>
        <w:rFonts w:ascii="Times New Roman" w:eastAsia="Times New Roman"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4">
    <w:nsid w:val="53DD1FA2"/>
    <w:multiLevelType w:val="hybridMultilevel"/>
    <w:tmpl w:val="934A0EA2"/>
    <w:lvl w:ilvl="0" w:tplc="04260005">
      <w:start w:val="1"/>
      <w:numFmt w:val="bullet"/>
      <w:lvlText w:val=""/>
      <w:lvlJc w:val="left"/>
      <w:pPr>
        <w:tabs>
          <w:tab w:val="num" w:pos="770"/>
        </w:tabs>
        <w:ind w:left="770" w:hanging="360"/>
      </w:pPr>
      <w:rPr>
        <w:rFonts w:ascii="Wingdings" w:hAnsi="Wingdings" w:cs="Wingdings" w:hint="default"/>
      </w:rPr>
    </w:lvl>
    <w:lvl w:ilvl="1" w:tplc="04260003">
      <w:start w:val="1"/>
      <w:numFmt w:val="bullet"/>
      <w:lvlText w:val="o"/>
      <w:lvlJc w:val="left"/>
      <w:pPr>
        <w:tabs>
          <w:tab w:val="num" w:pos="1490"/>
        </w:tabs>
        <w:ind w:left="1490" w:hanging="360"/>
      </w:pPr>
      <w:rPr>
        <w:rFonts w:ascii="Courier New" w:hAnsi="Courier New" w:cs="Courier New" w:hint="default"/>
      </w:rPr>
    </w:lvl>
    <w:lvl w:ilvl="2" w:tplc="04260005">
      <w:start w:val="1"/>
      <w:numFmt w:val="bullet"/>
      <w:lvlText w:val=""/>
      <w:lvlJc w:val="left"/>
      <w:pPr>
        <w:tabs>
          <w:tab w:val="num" w:pos="2210"/>
        </w:tabs>
        <w:ind w:left="2210" w:hanging="360"/>
      </w:pPr>
      <w:rPr>
        <w:rFonts w:ascii="Wingdings" w:hAnsi="Wingdings" w:cs="Wingdings" w:hint="default"/>
      </w:rPr>
    </w:lvl>
    <w:lvl w:ilvl="3" w:tplc="04260001">
      <w:start w:val="1"/>
      <w:numFmt w:val="bullet"/>
      <w:lvlText w:val=""/>
      <w:lvlJc w:val="left"/>
      <w:pPr>
        <w:tabs>
          <w:tab w:val="num" w:pos="2930"/>
        </w:tabs>
        <w:ind w:left="2930" w:hanging="360"/>
      </w:pPr>
      <w:rPr>
        <w:rFonts w:ascii="Symbol" w:hAnsi="Symbol" w:cs="Symbol" w:hint="default"/>
      </w:rPr>
    </w:lvl>
    <w:lvl w:ilvl="4" w:tplc="04260003">
      <w:start w:val="1"/>
      <w:numFmt w:val="bullet"/>
      <w:lvlText w:val="o"/>
      <w:lvlJc w:val="left"/>
      <w:pPr>
        <w:tabs>
          <w:tab w:val="num" w:pos="3650"/>
        </w:tabs>
        <w:ind w:left="3650" w:hanging="360"/>
      </w:pPr>
      <w:rPr>
        <w:rFonts w:ascii="Courier New" w:hAnsi="Courier New" w:cs="Courier New" w:hint="default"/>
      </w:rPr>
    </w:lvl>
    <w:lvl w:ilvl="5" w:tplc="04260005">
      <w:start w:val="1"/>
      <w:numFmt w:val="bullet"/>
      <w:lvlText w:val=""/>
      <w:lvlJc w:val="left"/>
      <w:pPr>
        <w:tabs>
          <w:tab w:val="num" w:pos="4370"/>
        </w:tabs>
        <w:ind w:left="4370" w:hanging="360"/>
      </w:pPr>
      <w:rPr>
        <w:rFonts w:ascii="Wingdings" w:hAnsi="Wingdings" w:cs="Wingdings" w:hint="default"/>
      </w:rPr>
    </w:lvl>
    <w:lvl w:ilvl="6" w:tplc="04260001">
      <w:start w:val="1"/>
      <w:numFmt w:val="bullet"/>
      <w:lvlText w:val=""/>
      <w:lvlJc w:val="left"/>
      <w:pPr>
        <w:tabs>
          <w:tab w:val="num" w:pos="5090"/>
        </w:tabs>
        <w:ind w:left="5090" w:hanging="360"/>
      </w:pPr>
      <w:rPr>
        <w:rFonts w:ascii="Symbol" w:hAnsi="Symbol" w:cs="Symbol" w:hint="default"/>
      </w:rPr>
    </w:lvl>
    <w:lvl w:ilvl="7" w:tplc="04260003">
      <w:start w:val="1"/>
      <w:numFmt w:val="bullet"/>
      <w:lvlText w:val="o"/>
      <w:lvlJc w:val="left"/>
      <w:pPr>
        <w:tabs>
          <w:tab w:val="num" w:pos="5810"/>
        </w:tabs>
        <w:ind w:left="5810" w:hanging="360"/>
      </w:pPr>
      <w:rPr>
        <w:rFonts w:ascii="Courier New" w:hAnsi="Courier New" w:cs="Courier New" w:hint="default"/>
      </w:rPr>
    </w:lvl>
    <w:lvl w:ilvl="8" w:tplc="04260005">
      <w:start w:val="1"/>
      <w:numFmt w:val="bullet"/>
      <w:lvlText w:val=""/>
      <w:lvlJc w:val="left"/>
      <w:pPr>
        <w:tabs>
          <w:tab w:val="num" w:pos="6530"/>
        </w:tabs>
        <w:ind w:left="6530" w:hanging="360"/>
      </w:pPr>
      <w:rPr>
        <w:rFonts w:ascii="Wingdings" w:hAnsi="Wingdings" w:cs="Wingdings" w:hint="default"/>
      </w:rPr>
    </w:lvl>
  </w:abstractNum>
  <w:abstractNum w:abstractNumId="5">
    <w:nsid w:val="5C421EAD"/>
    <w:multiLevelType w:val="hybridMultilevel"/>
    <w:tmpl w:val="F746B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2F"/>
    <w:rsid w:val="00004D92"/>
    <w:rsid w:val="000148BE"/>
    <w:rsid w:val="000345B4"/>
    <w:rsid w:val="000513FD"/>
    <w:rsid w:val="00067882"/>
    <w:rsid w:val="0007120D"/>
    <w:rsid w:val="00080E52"/>
    <w:rsid w:val="000813B8"/>
    <w:rsid w:val="00082E15"/>
    <w:rsid w:val="00086ADA"/>
    <w:rsid w:val="0009056A"/>
    <w:rsid w:val="000A40E5"/>
    <w:rsid w:val="000C276A"/>
    <w:rsid w:val="000D4235"/>
    <w:rsid w:val="000E53AF"/>
    <w:rsid w:val="00104C34"/>
    <w:rsid w:val="00105ADA"/>
    <w:rsid w:val="00116680"/>
    <w:rsid w:val="00117C13"/>
    <w:rsid w:val="00131610"/>
    <w:rsid w:val="0015043E"/>
    <w:rsid w:val="0015393F"/>
    <w:rsid w:val="00175FCA"/>
    <w:rsid w:val="001D07B7"/>
    <w:rsid w:val="001D5296"/>
    <w:rsid w:val="001E170B"/>
    <w:rsid w:val="001E1C0D"/>
    <w:rsid w:val="001F0380"/>
    <w:rsid w:val="001F3405"/>
    <w:rsid w:val="002107EF"/>
    <w:rsid w:val="00211D06"/>
    <w:rsid w:val="002159DC"/>
    <w:rsid w:val="00222AAC"/>
    <w:rsid w:val="002316BF"/>
    <w:rsid w:val="00231938"/>
    <w:rsid w:val="00253CC8"/>
    <w:rsid w:val="00263C05"/>
    <w:rsid w:val="00282499"/>
    <w:rsid w:val="00291DCD"/>
    <w:rsid w:val="0029225C"/>
    <w:rsid w:val="002A302E"/>
    <w:rsid w:val="002A4710"/>
    <w:rsid w:val="002A6465"/>
    <w:rsid w:val="002B613F"/>
    <w:rsid w:val="002D57D1"/>
    <w:rsid w:val="002F599D"/>
    <w:rsid w:val="003072F2"/>
    <w:rsid w:val="00310763"/>
    <w:rsid w:val="00311557"/>
    <w:rsid w:val="00312898"/>
    <w:rsid w:val="00347DF8"/>
    <w:rsid w:val="00353586"/>
    <w:rsid w:val="00353985"/>
    <w:rsid w:val="003600BB"/>
    <w:rsid w:val="003722D8"/>
    <w:rsid w:val="00383AAA"/>
    <w:rsid w:val="00385D99"/>
    <w:rsid w:val="003872F4"/>
    <w:rsid w:val="00390642"/>
    <w:rsid w:val="00390DE6"/>
    <w:rsid w:val="003A152E"/>
    <w:rsid w:val="003A47C3"/>
    <w:rsid w:val="003A6FEA"/>
    <w:rsid w:val="003B7045"/>
    <w:rsid w:val="003C28E8"/>
    <w:rsid w:val="003D4E98"/>
    <w:rsid w:val="003E37CA"/>
    <w:rsid w:val="003E4268"/>
    <w:rsid w:val="004251A9"/>
    <w:rsid w:val="00441189"/>
    <w:rsid w:val="004A0A9A"/>
    <w:rsid w:val="004A7158"/>
    <w:rsid w:val="004B6F59"/>
    <w:rsid w:val="004E7FDC"/>
    <w:rsid w:val="004F6C1A"/>
    <w:rsid w:val="00515663"/>
    <w:rsid w:val="00523140"/>
    <w:rsid w:val="00525BB2"/>
    <w:rsid w:val="00554275"/>
    <w:rsid w:val="005556EF"/>
    <w:rsid w:val="005619AE"/>
    <w:rsid w:val="00581B8D"/>
    <w:rsid w:val="005921E0"/>
    <w:rsid w:val="00594443"/>
    <w:rsid w:val="005B5B53"/>
    <w:rsid w:val="005D6C27"/>
    <w:rsid w:val="0060547F"/>
    <w:rsid w:val="00612697"/>
    <w:rsid w:val="00615DBC"/>
    <w:rsid w:val="00621F61"/>
    <w:rsid w:val="006263F0"/>
    <w:rsid w:val="00626862"/>
    <w:rsid w:val="00657A04"/>
    <w:rsid w:val="0066102E"/>
    <w:rsid w:val="00674666"/>
    <w:rsid w:val="0068043C"/>
    <w:rsid w:val="006860AF"/>
    <w:rsid w:val="006A38E0"/>
    <w:rsid w:val="006A3D3A"/>
    <w:rsid w:val="006A7479"/>
    <w:rsid w:val="006A7CD1"/>
    <w:rsid w:val="006B4DB5"/>
    <w:rsid w:val="006B7509"/>
    <w:rsid w:val="006D7B94"/>
    <w:rsid w:val="006E2E8E"/>
    <w:rsid w:val="006F7A3B"/>
    <w:rsid w:val="00727AD8"/>
    <w:rsid w:val="00781A2F"/>
    <w:rsid w:val="007D0177"/>
    <w:rsid w:val="007E3625"/>
    <w:rsid w:val="00804580"/>
    <w:rsid w:val="0080784B"/>
    <w:rsid w:val="008137EC"/>
    <w:rsid w:val="0084006B"/>
    <w:rsid w:val="00850627"/>
    <w:rsid w:val="00861095"/>
    <w:rsid w:val="00872635"/>
    <w:rsid w:val="00875578"/>
    <w:rsid w:val="008A7479"/>
    <w:rsid w:val="008B1F5D"/>
    <w:rsid w:val="008B2118"/>
    <w:rsid w:val="008D29E4"/>
    <w:rsid w:val="008D62C0"/>
    <w:rsid w:val="008F023D"/>
    <w:rsid w:val="009023BA"/>
    <w:rsid w:val="00903075"/>
    <w:rsid w:val="009060F4"/>
    <w:rsid w:val="00916B76"/>
    <w:rsid w:val="00917306"/>
    <w:rsid w:val="00934616"/>
    <w:rsid w:val="00935759"/>
    <w:rsid w:val="00944501"/>
    <w:rsid w:val="00972016"/>
    <w:rsid w:val="00990818"/>
    <w:rsid w:val="009A3F94"/>
    <w:rsid w:val="009B485A"/>
    <w:rsid w:val="009D05F6"/>
    <w:rsid w:val="009D52BF"/>
    <w:rsid w:val="00A042B8"/>
    <w:rsid w:val="00A260A4"/>
    <w:rsid w:val="00A46638"/>
    <w:rsid w:val="00A47B23"/>
    <w:rsid w:val="00A72701"/>
    <w:rsid w:val="00A73719"/>
    <w:rsid w:val="00A909BD"/>
    <w:rsid w:val="00AA44A0"/>
    <w:rsid w:val="00AC1FE2"/>
    <w:rsid w:val="00AC39ED"/>
    <w:rsid w:val="00AC731C"/>
    <w:rsid w:val="00AD1822"/>
    <w:rsid w:val="00AE1F9F"/>
    <w:rsid w:val="00B062BB"/>
    <w:rsid w:val="00B15F09"/>
    <w:rsid w:val="00B20C50"/>
    <w:rsid w:val="00B31D9E"/>
    <w:rsid w:val="00B64AA0"/>
    <w:rsid w:val="00B73065"/>
    <w:rsid w:val="00B736F7"/>
    <w:rsid w:val="00B76731"/>
    <w:rsid w:val="00B97B64"/>
    <w:rsid w:val="00BA3D69"/>
    <w:rsid w:val="00BC75B5"/>
    <w:rsid w:val="00BD0860"/>
    <w:rsid w:val="00BD48EE"/>
    <w:rsid w:val="00BE624E"/>
    <w:rsid w:val="00BE62F3"/>
    <w:rsid w:val="00C06578"/>
    <w:rsid w:val="00C13714"/>
    <w:rsid w:val="00C15CE1"/>
    <w:rsid w:val="00C24BD8"/>
    <w:rsid w:val="00C36E8E"/>
    <w:rsid w:val="00C912C2"/>
    <w:rsid w:val="00CA3AD6"/>
    <w:rsid w:val="00CA6805"/>
    <w:rsid w:val="00CC7329"/>
    <w:rsid w:val="00CD4280"/>
    <w:rsid w:val="00CF3160"/>
    <w:rsid w:val="00D01712"/>
    <w:rsid w:val="00D04466"/>
    <w:rsid w:val="00D04E1C"/>
    <w:rsid w:val="00D17057"/>
    <w:rsid w:val="00D643F9"/>
    <w:rsid w:val="00D75205"/>
    <w:rsid w:val="00D87026"/>
    <w:rsid w:val="00D93236"/>
    <w:rsid w:val="00D97D4A"/>
    <w:rsid w:val="00D97D4F"/>
    <w:rsid w:val="00D97D68"/>
    <w:rsid w:val="00DA1504"/>
    <w:rsid w:val="00DA7D9F"/>
    <w:rsid w:val="00DB744D"/>
    <w:rsid w:val="00DC0CB8"/>
    <w:rsid w:val="00DC1755"/>
    <w:rsid w:val="00DD1588"/>
    <w:rsid w:val="00DD792A"/>
    <w:rsid w:val="00DF3572"/>
    <w:rsid w:val="00E01B04"/>
    <w:rsid w:val="00E0428B"/>
    <w:rsid w:val="00E04B3C"/>
    <w:rsid w:val="00E07324"/>
    <w:rsid w:val="00E14CFE"/>
    <w:rsid w:val="00E4682D"/>
    <w:rsid w:val="00E5140B"/>
    <w:rsid w:val="00E55DE3"/>
    <w:rsid w:val="00E71FFD"/>
    <w:rsid w:val="00EA0870"/>
    <w:rsid w:val="00EA2ACA"/>
    <w:rsid w:val="00EB0101"/>
    <w:rsid w:val="00EB010E"/>
    <w:rsid w:val="00EC2CF7"/>
    <w:rsid w:val="00EE3F63"/>
    <w:rsid w:val="00EE5CE8"/>
    <w:rsid w:val="00F07F6C"/>
    <w:rsid w:val="00F23BF9"/>
    <w:rsid w:val="00F25EA7"/>
    <w:rsid w:val="00F26981"/>
    <w:rsid w:val="00F311B5"/>
    <w:rsid w:val="00F31284"/>
    <w:rsid w:val="00F513B6"/>
    <w:rsid w:val="00F53AAA"/>
    <w:rsid w:val="00F60EE5"/>
    <w:rsid w:val="00F67F56"/>
    <w:rsid w:val="00F70FF6"/>
    <w:rsid w:val="00F739BD"/>
    <w:rsid w:val="00F769F5"/>
    <w:rsid w:val="00F812E4"/>
    <w:rsid w:val="00FA057F"/>
    <w:rsid w:val="00FA6BF1"/>
    <w:rsid w:val="00FC3806"/>
    <w:rsid w:val="00FE081A"/>
    <w:rsid w:val="00FE306A"/>
    <w:rsid w:val="00FE3B18"/>
    <w:rsid w:val="00FF7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2F"/>
    <w:rPr>
      <w:rFonts w:eastAsia="Times New Roman"/>
      <w:sz w:val="24"/>
      <w:szCs w:val="24"/>
      <w:lang w:val="lv-LV" w:eastAsia="lv-LV"/>
    </w:rPr>
  </w:style>
  <w:style w:type="paragraph" w:styleId="Heading2">
    <w:name w:val="heading 2"/>
    <w:basedOn w:val="Normal"/>
    <w:next w:val="Normal"/>
    <w:link w:val="Heading2Char"/>
    <w:uiPriority w:val="99"/>
    <w:qFormat/>
    <w:locked/>
    <w:rsid w:val="00DC1755"/>
    <w:pPr>
      <w:keepNext/>
      <w:jc w:val="right"/>
      <w:outlineLvl w:val="1"/>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81A2F"/>
    <w:pPr>
      <w:spacing w:before="75" w:after="75"/>
      <w:ind w:firstLine="375"/>
      <w:jc w:val="both"/>
    </w:pPr>
  </w:style>
  <w:style w:type="paragraph" w:customStyle="1" w:styleId="naisnod">
    <w:name w:val="naisnod"/>
    <w:basedOn w:val="Normal"/>
    <w:uiPriority w:val="99"/>
    <w:rsid w:val="00781A2F"/>
    <w:pPr>
      <w:spacing w:before="150" w:after="150"/>
      <w:jc w:val="center"/>
    </w:pPr>
    <w:rPr>
      <w:b/>
      <w:bCs/>
    </w:rPr>
  </w:style>
  <w:style w:type="paragraph" w:customStyle="1" w:styleId="naiskr">
    <w:name w:val="naiskr"/>
    <w:basedOn w:val="Normal"/>
    <w:rsid w:val="00781A2F"/>
    <w:pPr>
      <w:spacing w:before="75" w:after="75"/>
    </w:pPr>
  </w:style>
  <w:style w:type="paragraph" w:styleId="FootnoteText">
    <w:name w:val="footnote text"/>
    <w:basedOn w:val="Normal"/>
    <w:link w:val="FootnoteTextChar"/>
    <w:uiPriority w:val="99"/>
    <w:semiHidden/>
    <w:rsid w:val="00781A2F"/>
    <w:rPr>
      <w:sz w:val="20"/>
      <w:szCs w:val="20"/>
    </w:rPr>
  </w:style>
  <w:style w:type="character" w:customStyle="1" w:styleId="FootnoteTextChar">
    <w:name w:val="Footnote Text Char"/>
    <w:basedOn w:val="DefaultParagraphFont"/>
    <w:link w:val="FootnoteText"/>
    <w:uiPriority w:val="99"/>
    <w:semiHidden/>
    <w:locked/>
    <w:rsid w:val="00781A2F"/>
    <w:rPr>
      <w:rFonts w:eastAsia="Times New Roman"/>
      <w:sz w:val="20"/>
      <w:szCs w:val="20"/>
      <w:lang w:eastAsia="lv-LV"/>
    </w:rPr>
  </w:style>
  <w:style w:type="paragraph" w:styleId="NormalWeb">
    <w:name w:val="Normal (Web)"/>
    <w:basedOn w:val="Normal"/>
    <w:uiPriority w:val="99"/>
    <w:rsid w:val="00781A2F"/>
    <w:pPr>
      <w:spacing w:before="100" w:beforeAutospacing="1" w:after="100" w:afterAutospacing="1"/>
    </w:pPr>
  </w:style>
  <w:style w:type="paragraph" w:styleId="BodyText2">
    <w:name w:val="Body Text 2"/>
    <w:basedOn w:val="Normal"/>
    <w:link w:val="BodyText2Char"/>
    <w:uiPriority w:val="99"/>
    <w:rsid w:val="00781A2F"/>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781A2F"/>
    <w:rPr>
      <w:rFonts w:ascii="Calibri" w:hAnsi="Calibri" w:cs="Calibri"/>
      <w:sz w:val="22"/>
      <w:szCs w:val="22"/>
      <w:lang w:eastAsia="lv-LV"/>
    </w:rPr>
  </w:style>
  <w:style w:type="paragraph" w:styleId="CommentText">
    <w:name w:val="annotation text"/>
    <w:basedOn w:val="Normal"/>
    <w:link w:val="CommentTextChar"/>
    <w:uiPriority w:val="99"/>
    <w:semiHidden/>
    <w:rsid w:val="00781A2F"/>
    <w:pPr>
      <w:spacing w:after="200" w:line="276" w:lineRule="auto"/>
      <w:ind w:firstLine="720"/>
    </w:pPr>
    <w:rPr>
      <w:rFonts w:eastAsia="Calibri"/>
      <w:sz w:val="20"/>
      <w:szCs w:val="20"/>
      <w:lang w:eastAsia="en-US"/>
    </w:rPr>
  </w:style>
  <w:style w:type="character" w:customStyle="1" w:styleId="CommentTextChar">
    <w:name w:val="Comment Text Char"/>
    <w:basedOn w:val="DefaultParagraphFont"/>
    <w:link w:val="CommentText"/>
    <w:uiPriority w:val="99"/>
    <w:locked/>
    <w:rsid w:val="00781A2F"/>
    <w:rPr>
      <w:rFonts w:eastAsia="Times New Roman"/>
      <w:sz w:val="20"/>
      <w:szCs w:val="20"/>
    </w:rPr>
  </w:style>
  <w:style w:type="paragraph" w:styleId="Header">
    <w:name w:val="header"/>
    <w:basedOn w:val="Normal"/>
    <w:link w:val="HeaderChar"/>
    <w:uiPriority w:val="99"/>
    <w:rsid w:val="00781A2F"/>
    <w:pPr>
      <w:tabs>
        <w:tab w:val="center" w:pos="4153"/>
        <w:tab w:val="right" w:pos="8306"/>
      </w:tabs>
    </w:pPr>
  </w:style>
  <w:style w:type="character" w:customStyle="1" w:styleId="HeaderChar">
    <w:name w:val="Header Char"/>
    <w:basedOn w:val="DefaultParagraphFont"/>
    <w:link w:val="Header"/>
    <w:uiPriority w:val="99"/>
    <w:locked/>
    <w:rsid w:val="00781A2F"/>
    <w:rPr>
      <w:rFonts w:eastAsia="Times New Roman"/>
      <w:sz w:val="24"/>
      <w:szCs w:val="24"/>
      <w:lang w:eastAsia="lv-LV"/>
    </w:rPr>
  </w:style>
  <w:style w:type="paragraph" w:styleId="Footer">
    <w:name w:val="footer"/>
    <w:basedOn w:val="Normal"/>
    <w:link w:val="FooterChar"/>
    <w:uiPriority w:val="99"/>
    <w:rsid w:val="00781A2F"/>
    <w:pPr>
      <w:tabs>
        <w:tab w:val="center" w:pos="4153"/>
        <w:tab w:val="right" w:pos="8306"/>
      </w:tabs>
    </w:pPr>
  </w:style>
  <w:style w:type="character" w:customStyle="1" w:styleId="FooterChar">
    <w:name w:val="Footer Char"/>
    <w:basedOn w:val="DefaultParagraphFont"/>
    <w:link w:val="Footer"/>
    <w:uiPriority w:val="99"/>
    <w:locked/>
    <w:rsid w:val="00781A2F"/>
    <w:rPr>
      <w:rFonts w:eastAsia="Times New Roman"/>
      <w:sz w:val="24"/>
      <w:szCs w:val="24"/>
      <w:lang w:eastAsia="lv-LV"/>
    </w:rPr>
  </w:style>
  <w:style w:type="paragraph" w:styleId="BalloonText">
    <w:name w:val="Balloon Text"/>
    <w:basedOn w:val="Normal"/>
    <w:link w:val="BalloonTextChar"/>
    <w:uiPriority w:val="99"/>
    <w:semiHidden/>
    <w:rsid w:val="00F53A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92A"/>
    <w:rPr>
      <w:rFonts w:eastAsia="Times New Roman"/>
      <w:sz w:val="2"/>
      <w:szCs w:val="2"/>
    </w:rPr>
  </w:style>
  <w:style w:type="character" w:styleId="Emphasis">
    <w:name w:val="Emphasis"/>
    <w:basedOn w:val="DefaultParagraphFont"/>
    <w:uiPriority w:val="20"/>
    <w:qFormat/>
    <w:locked/>
    <w:rsid w:val="007D0177"/>
    <w:rPr>
      <w:i/>
      <w:iCs/>
    </w:rPr>
  </w:style>
  <w:style w:type="paragraph" w:styleId="ListParagraph">
    <w:name w:val="List Paragraph"/>
    <w:basedOn w:val="Normal"/>
    <w:uiPriority w:val="34"/>
    <w:qFormat/>
    <w:rsid w:val="00A042B8"/>
    <w:pPr>
      <w:ind w:left="720"/>
      <w:contextualSpacing/>
    </w:pPr>
  </w:style>
  <w:style w:type="character" w:styleId="CommentReference">
    <w:name w:val="annotation reference"/>
    <w:basedOn w:val="DefaultParagraphFont"/>
    <w:uiPriority w:val="99"/>
    <w:semiHidden/>
    <w:unhideWhenUsed/>
    <w:rsid w:val="0009056A"/>
    <w:rPr>
      <w:sz w:val="16"/>
      <w:szCs w:val="16"/>
    </w:rPr>
  </w:style>
  <w:style w:type="paragraph" w:styleId="CommentSubject">
    <w:name w:val="annotation subject"/>
    <w:basedOn w:val="CommentText"/>
    <w:next w:val="CommentText"/>
    <w:link w:val="CommentSubjectChar"/>
    <w:uiPriority w:val="99"/>
    <w:semiHidden/>
    <w:unhideWhenUsed/>
    <w:rsid w:val="0009056A"/>
    <w:pPr>
      <w:spacing w:after="0" w:line="240" w:lineRule="auto"/>
      <w:ind w:firstLine="0"/>
    </w:pPr>
    <w:rPr>
      <w:rFonts w:eastAsia="Times New Roman"/>
      <w:b/>
      <w:bCs/>
      <w:lang w:eastAsia="lv-LV"/>
    </w:rPr>
  </w:style>
  <w:style w:type="character" w:customStyle="1" w:styleId="CommentSubjectChar">
    <w:name w:val="Comment Subject Char"/>
    <w:basedOn w:val="CommentTextChar"/>
    <w:link w:val="CommentSubject"/>
    <w:uiPriority w:val="99"/>
    <w:semiHidden/>
    <w:rsid w:val="0009056A"/>
    <w:rPr>
      <w:rFonts w:eastAsia="Times New Roman"/>
      <w:b/>
      <w:bCs/>
      <w:sz w:val="20"/>
      <w:szCs w:val="20"/>
      <w:lang w:val="lv-LV" w:eastAsia="lv-LV"/>
    </w:rPr>
  </w:style>
  <w:style w:type="character" w:customStyle="1" w:styleId="Heading2Char">
    <w:name w:val="Heading 2 Char"/>
    <w:basedOn w:val="DefaultParagraphFont"/>
    <w:link w:val="Heading2"/>
    <w:uiPriority w:val="99"/>
    <w:rsid w:val="00DC1755"/>
    <w:rPr>
      <w:rFonts w:eastAsia="Times New Roman"/>
      <w:sz w:val="28"/>
      <w:szCs w:val="28"/>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2F"/>
    <w:rPr>
      <w:rFonts w:eastAsia="Times New Roman"/>
      <w:sz w:val="24"/>
      <w:szCs w:val="24"/>
      <w:lang w:val="lv-LV" w:eastAsia="lv-LV"/>
    </w:rPr>
  </w:style>
  <w:style w:type="paragraph" w:styleId="Heading2">
    <w:name w:val="heading 2"/>
    <w:basedOn w:val="Normal"/>
    <w:next w:val="Normal"/>
    <w:link w:val="Heading2Char"/>
    <w:uiPriority w:val="99"/>
    <w:qFormat/>
    <w:locked/>
    <w:rsid w:val="00DC1755"/>
    <w:pPr>
      <w:keepNext/>
      <w:jc w:val="right"/>
      <w:outlineLvl w:val="1"/>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81A2F"/>
    <w:pPr>
      <w:spacing w:before="75" w:after="75"/>
      <w:ind w:firstLine="375"/>
      <w:jc w:val="both"/>
    </w:pPr>
  </w:style>
  <w:style w:type="paragraph" w:customStyle="1" w:styleId="naisnod">
    <w:name w:val="naisnod"/>
    <w:basedOn w:val="Normal"/>
    <w:uiPriority w:val="99"/>
    <w:rsid w:val="00781A2F"/>
    <w:pPr>
      <w:spacing w:before="150" w:after="150"/>
      <w:jc w:val="center"/>
    </w:pPr>
    <w:rPr>
      <w:b/>
      <w:bCs/>
    </w:rPr>
  </w:style>
  <w:style w:type="paragraph" w:customStyle="1" w:styleId="naiskr">
    <w:name w:val="naiskr"/>
    <w:basedOn w:val="Normal"/>
    <w:rsid w:val="00781A2F"/>
    <w:pPr>
      <w:spacing w:before="75" w:after="75"/>
    </w:pPr>
  </w:style>
  <w:style w:type="paragraph" w:styleId="FootnoteText">
    <w:name w:val="footnote text"/>
    <w:basedOn w:val="Normal"/>
    <w:link w:val="FootnoteTextChar"/>
    <w:uiPriority w:val="99"/>
    <w:semiHidden/>
    <w:rsid w:val="00781A2F"/>
    <w:rPr>
      <w:sz w:val="20"/>
      <w:szCs w:val="20"/>
    </w:rPr>
  </w:style>
  <w:style w:type="character" w:customStyle="1" w:styleId="FootnoteTextChar">
    <w:name w:val="Footnote Text Char"/>
    <w:basedOn w:val="DefaultParagraphFont"/>
    <w:link w:val="FootnoteText"/>
    <w:uiPriority w:val="99"/>
    <w:semiHidden/>
    <w:locked/>
    <w:rsid w:val="00781A2F"/>
    <w:rPr>
      <w:rFonts w:eastAsia="Times New Roman"/>
      <w:sz w:val="20"/>
      <w:szCs w:val="20"/>
      <w:lang w:eastAsia="lv-LV"/>
    </w:rPr>
  </w:style>
  <w:style w:type="paragraph" w:styleId="NormalWeb">
    <w:name w:val="Normal (Web)"/>
    <w:basedOn w:val="Normal"/>
    <w:uiPriority w:val="99"/>
    <w:rsid w:val="00781A2F"/>
    <w:pPr>
      <w:spacing w:before="100" w:beforeAutospacing="1" w:after="100" w:afterAutospacing="1"/>
    </w:pPr>
  </w:style>
  <w:style w:type="paragraph" w:styleId="BodyText2">
    <w:name w:val="Body Text 2"/>
    <w:basedOn w:val="Normal"/>
    <w:link w:val="BodyText2Char"/>
    <w:uiPriority w:val="99"/>
    <w:rsid w:val="00781A2F"/>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781A2F"/>
    <w:rPr>
      <w:rFonts w:ascii="Calibri" w:hAnsi="Calibri" w:cs="Calibri"/>
      <w:sz w:val="22"/>
      <w:szCs w:val="22"/>
      <w:lang w:eastAsia="lv-LV"/>
    </w:rPr>
  </w:style>
  <w:style w:type="paragraph" w:styleId="CommentText">
    <w:name w:val="annotation text"/>
    <w:basedOn w:val="Normal"/>
    <w:link w:val="CommentTextChar"/>
    <w:uiPriority w:val="99"/>
    <w:semiHidden/>
    <w:rsid w:val="00781A2F"/>
    <w:pPr>
      <w:spacing w:after="200" w:line="276" w:lineRule="auto"/>
      <w:ind w:firstLine="720"/>
    </w:pPr>
    <w:rPr>
      <w:rFonts w:eastAsia="Calibri"/>
      <w:sz w:val="20"/>
      <w:szCs w:val="20"/>
      <w:lang w:eastAsia="en-US"/>
    </w:rPr>
  </w:style>
  <w:style w:type="character" w:customStyle="1" w:styleId="CommentTextChar">
    <w:name w:val="Comment Text Char"/>
    <w:basedOn w:val="DefaultParagraphFont"/>
    <w:link w:val="CommentText"/>
    <w:uiPriority w:val="99"/>
    <w:locked/>
    <w:rsid w:val="00781A2F"/>
    <w:rPr>
      <w:rFonts w:eastAsia="Times New Roman"/>
      <w:sz w:val="20"/>
      <w:szCs w:val="20"/>
    </w:rPr>
  </w:style>
  <w:style w:type="paragraph" w:styleId="Header">
    <w:name w:val="header"/>
    <w:basedOn w:val="Normal"/>
    <w:link w:val="HeaderChar"/>
    <w:uiPriority w:val="99"/>
    <w:rsid w:val="00781A2F"/>
    <w:pPr>
      <w:tabs>
        <w:tab w:val="center" w:pos="4153"/>
        <w:tab w:val="right" w:pos="8306"/>
      </w:tabs>
    </w:pPr>
  </w:style>
  <w:style w:type="character" w:customStyle="1" w:styleId="HeaderChar">
    <w:name w:val="Header Char"/>
    <w:basedOn w:val="DefaultParagraphFont"/>
    <w:link w:val="Header"/>
    <w:uiPriority w:val="99"/>
    <w:locked/>
    <w:rsid w:val="00781A2F"/>
    <w:rPr>
      <w:rFonts w:eastAsia="Times New Roman"/>
      <w:sz w:val="24"/>
      <w:szCs w:val="24"/>
      <w:lang w:eastAsia="lv-LV"/>
    </w:rPr>
  </w:style>
  <w:style w:type="paragraph" w:styleId="Footer">
    <w:name w:val="footer"/>
    <w:basedOn w:val="Normal"/>
    <w:link w:val="FooterChar"/>
    <w:uiPriority w:val="99"/>
    <w:rsid w:val="00781A2F"/>
    <w:pPr>
      <w:tabs>
        <w:tab w:val="center" w:pos="4153"/>
        <w:tab w:val="right" w:pos="8306"/>
      </w:tabs>
    </w:pPr>
  </w:style>
  <w:style w:type="character" w:customStyle="1" w:styleId="FooterChar">
    <w:name w:val="Footer Char"/>
    <w:basedOn w:val="DefaultParagraphFont"/>
    <w:link w:val="Footer"/>
    <w:uiPriority w:val="99"/>
    <w:locked/>
    <w:rsid w:val="00781A2F"/>
    <w:rPr>
      <w:rFonts w:eastAsia="Times New Roman"/>
      <w:sz w:val="24"/>
      <w:szCs w:val="24"/>
      <w:lang w:eastAsia="lv-LV"/>
    </w:rPr>
  </w:style>
  <w:style w:type="paragraph" w:styleId="BalloonText">
    <w:name w:val="Balloon Text"/>
    <w:basedOn w:val="Normal"/>
    <w:link w:val="BalloonTextChar"/>
    <w:uiPriority w:val="99"/>
    <w:semiHidden/>
    <w:rsid w:val="00F53A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92A"/>
    <w:rPr>
      <w:rFonts w:eastAsia="Times New Roman"/>
      <w:sz w:val="2"/>
      <w:szCs w:val="2"/>
    </w:rPr>
  </w:style>
  <w:style w:type="character" w:styleId="Emphasis">
    <w:name w:val="Emphasis"/>
    <w:basedOn w:val="DefaultParagraphFont"/>
    <w:uiPriority w:val="20"/>
    <w:qFormat/>
    <w:locked/>
    <w:rsid w:val="007D0177"/>
    <w:rPr>
      <w:i/>
      <w:iCs/>
    </w:rPr>
  </w:style>
  <w:style w:type="paragraph" w:styleId="ListParagraph">
    <w:name w:val="List Paragraph"/>
    <w:basedOn w:val="Normal"/>
    <w:uiPriority w:val="34"/>
    <w:qFormat/>
    <w:rsid w:val="00A042B8"/>
    <w:pPr>
      <w:ind w:left="720"/>
      <w:contextualSpacing/>
    </w:pPr>
  </w:style>
  <w:style w:type="character" w:styleId="CommentReference">
    <w:name w:val="annotation reference"/>
    <w:basedOn w:val="DefaultParagraphFont"/>
    <w:uiPriority w:val="99"/>
    <w:semiHidden/>
    <w:unhideWhenUsed/>
    <w:rsid w:val="0009056A"/>
    <w:rPr>
      <w:sz w:val="16"/>
      <w:szCs w:val="16"/>
    </w:rPr>
  </w:style>
  <w:style w:type="paragraph" w:styleId="CommentSubject">
    <w:name w:val="annotation subject"/>
    <w:basedOn w:val="CommentText"/>
    <w:next w:val="CommentText"/>
    <w:link w:val="CommentSubjectChar"/>
    <w:uiPriority w:val="99"/>
    <w:semiHidden/>
    <w:unhideWhenUsed/>
    <w:rsid w:val="0009056A"/>
    <w:pPr>
      <w:spacing w:after="0" w:line="240" w:lineRule="auto"/>
      <w:ind w:firstLine="0"/>
    </w:pPr>
    <w:rPr>
      <w:rFonts w:eastAsia="Times New Roman"/>
      <w:b/>
      <w:bCs/>
      <w:lang w:eastAsia="lv-LV"/>
    </w:rPr>
  </w:style>
  <w:style w:type="character" w:customStyle="1" w:styleId="CommentSubjectChar">
    <w:name w:val="Comment Subject Char"/>
    <w:basedOn w:val="CommentTextChar"/>
    <w:link w:val="CommentSubject"/>
    <w:uiPriority w:val="99"/>
    <w:semiHidden/>
    <w:rsid w:val="0009056A"/>
    <w:rPr>
      <w:rFonts w:eastAsia="Times New Roman"/>
      <w:b/>
      <w:bCs/>
      <w:sz w:val="20"/>
      <w:szCs w:val="20"/>
      <w:lang w:val="lv-LV" w:eastAsia="lv-LV"/>
    </w:rPr>
  </w:style>
  <w:style w:type="character" w:customStyle="1" w:styleId="Heading2Char">
    <w:name w:val="Heading 2 Char"/>
    <w:basedOn w:val="DefaultParagraphFont"/>
    <w:link w:val="Heading2"/>
    <w:uiPriority w:val="99"/>
    <w:rsid w:val="00DC1755"/>
    <w:rPr>
      <w:rFonts w:eastAsia="Times New Roman"/>
      <w:sz w:val="28"/>
      <w:szCs w:val="2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B344B-001A-42EC-9B08-EF65626F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4889</Words>
  <Characters>2787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Noteikumi par 2013./2014.mācību gada un mācību semestru sākuma un beigu laiku</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2013./2014.mācību gada un mācību semestru sākuma un beigu laiku</dc:title>
  <dc:subject>Anotācija</dc:subject>
  <dc:creator>Dzintra Mergupe-Kutraite</dc:creator>
  <dc:description>Dz.Mergupe-Kutraite
67047817, dzintra.mergupe@izm.gov.lv</dc:description>
  <cp:lastModifiedBy>Laimdota Adlere</cp:lastModifiedBy>
  <cp:revision>4</cp:revision>
  <cp:lastPrinted>2013-03-04T14:35:00Z</cp:lastPrinted>
  <dcterms:created xsi:type="dcterms:W3CDTF">2013-03-05T11:45:00Z</dcterms:created>
  <dcterms:modified xsi:type="dcterms:W3CDTF">2013-03-05T11:45:00Z</dcterms:modified>
</cp:coreProperties>
</file>